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360" w:lineRule="auto"/>
        <w:ind w:left="4176" w:hanging="4176" w:hangingChars="1300"/>
        <w:jc w:val="center"/>
        <w:rPr>
          <w:rFonts w:ascii="宋体" w:hAnsi="宋体" w:cs="宋体"/>
          <w:b w:val="0"/>
          <w:bCs w:val="0"/>
          <w:color w:val="000000"/>
          <w:sz w:val="24"/>
        </w:rPr>
      </w:pPr>
      <w:r>
        <w:rPr>
          <w:rFonts w:hint="eastAsia" w:ascii="宋体" w:hAnsi="宋体" w:cs="宋体"/>
          <w:color w:val="000000"/>
        </w:rPr>
        <w:t>采购项目</w:t>
      </w:r>
      <w:r>
        <w:rPr>
          <w:rFonts w:hint="eastAsia" w:ascii="宋体" w:hAnsi="宋体" w:cs="宋体"/>
          <w:color w:val="000000"/>
          <w:lang w:val="en-US" w:eastAsia="zh-CN"/>
        </w:rPr>
        <w:t>服务</w:t>
      </w:r>
      <w:r>
        <w:rPr>
          <w:rFonts w:hint="eastAsia" w:ascii="宋体" w:hAnsi="宋体" w:cs="宋体"/>
          <w:color w:val="000000"/>
        </w:rPr>
        <w:t>、商务</w:t>
      </w:r>
      <w:r>
        <w:rPr>
          <w:rFonts w:hint="eastAsia" w:ascii="宋体" w:hAnsi="宋体" w:cs="宋体"/>
          <w:color w:val="000000"/>
          <w:lang w:val="en-US" w:eastAsia="zh-CN"/>
        </w:rPr>
        <w:t>及其他要求</w:t>
      </w:r>
    </w:p>
    <w:p>
      <w:pPr>
        <w:spacing w:line="540" w:lineRule="exact"/>
        <w:ind w:firstLine="482" w:firstLineChars="200"/>
        <w:jc w:val="left"/>
        <w:rPr>
          <w:rFonts w:ascii="宋体" w:hAnsi="宋体" w:cs="宋体"/>
          <w:b/>
          <w:bCs/>
          <w:color w:val="000000"/>
          <w:sz w:val="24"/>
          <w:szCs w:val="24"/>
        </w:rPr>
      </w:pPr>
      <w:r>
        <w:rPr>
          <w:rFonts w:hint="eastAsia" w:ascii="宋体" w:hAnsi="宋体" w:cs="宋体"/>
          <w:b/>
          <w:bCs/>
          <w:color w:val="000000"/>
          <w:sz w:val="24"/>
          <w:szCs w:val="24"/>
          <w:lang w:val="en-US" w:eastAsia="zh-CN"/>
        </w:rPr>
        <w:t>一</w:t>
      </w:r>
      <w:r>
        <w:rPr>
          <w:rFonts w:hint="eastAsia" w:ascii="宋体" w:hAnsi="宋体" w:cs="宋体"/>
          <w:b/>
          <w:bCs/>
          <w:color w:val="000000"/>
          <w:sz w:val="24"/>
          <w:szCs w:val="24"/>
        </w:rPr>
        <w:t>、项目概况：</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根据四川省自然资源厅《关于四川省2020年第13批城乡建设用地增减挂钩试点项目区实施规划的批复》川自然资函[2020]522及《关于四川省2020年第15批城乡建设用地增减挂钩试点项目区实施规划的批复》川自然资函[2020]524文件要求，本项目采购人拟选聘一家合格的审计机构为其提供专项审计调查服务。</w:t>
      </w:r>
    </w:p>
    <w:p>
      <w:pPr>
        <w:spacing w:line="540" w:lineRule="exact"/>
        <w:ind w:left="482"/>
        <w:jc w:val="left"/>
        <w:rPr>
          <w:rFonts w:ascii="宋体" w:hAnsi="宋体" w:cs="宋体"/>
          <w:b/>
          <w:bCs/>
          <w:color w:val="000000"/>
          <w:sz w:val="24"/>
          <w:szCs w:val="24"/>
        </w:rPr>
      </w:pPr>
      <w:r>
        <w:rPr>
          <w:rFonts w:hint="eastAsia" w:ascii="宋体" w:hAnsi="宋体" w:cs="宋体"/>
          <w:b/>
          <w:bCs/>
          <w:color w:val="000000"/>
          <w:sz w:val="24"/>
          <w:szCs w:val="24"/>
          <w:lang w:val="en-US" w:eastAsia="zh-CN"/>
        </w:rPr>
        <w:t>二</w:t>
      </w:r>
      <w:r>
        <w:rPr>
          <w:rFonts w:hint="eastAsia" w:ascii="宋体" w:hAnsi="宋体" w:cs="宋体"/>
          <w:b/>
          <w:bCs/>
          <w:color w:val="000000"/>
          <w:sz w:val="24"/>
          <w:szCs w:val="24"/>
        </w:rPr>
        <w:t>、服务范围及内容：</w:t>
      </w:r>
    </w:p>
    <w:p>
      <w:pPr>
        <w:spacing w:line="540" w:lineRule="exact"/>
        <w:ind w:left="482"/>
        <w:jc w:val="left"/>
        <w:rPr>
          <w:rFonts w:ascii="宋体" w:hAnsi="宋体" w:cs="宋体"/>
          <w:b/>
          <w:bCs/>
          <w:color w:val="000000"/>
          <w:sz w:val="24"/>
          <w:szCs w:val="24"/>
        </w:rPr>
      </w:pPr>
      <w:r>
        <w:rPr>
          <w:rFonts w:hint="eastAsia" w:ascii="宋体" w:hAnsi="宋体" w:cs="宋体"/>
          <w:b/>
          <w:bCs/>
          <w:color w:val="000000"/>
          <w:sz w:val="24"/>
          <w:szCs w:val="24"/>
        </w:rPr>
        <w:t>（一）服务范围：</w:t>
      </w:r>
    </w:p>
    <w:tbl>
      <w:tblPr>
        <w:tblStyle w:val="4"/>
        <w:tblW w:w="9256" w:type="dxa"/>
        <w:jc w:val="center"/>
        <w:tblLayout w:type="fixed"/>
        <w:tblCellMar>
          <w:top w:w="0" w:type="dxa"/>
          <w:left w:w="10" w:type="dxa"/>
          <w:bottom w:w="0" w:type="dxa"/>
          <w:right w:w="10" w:type="dxa"/>
        </w:tblCellMar>
      </w:tblPr>
      <w:tblGrid>
        <w:gridCol w:w="1261"/>
        <w:gridCol w:w="1033"/>
        <w:gridCol w:w="6962"/>
      </w:tblGrid>
      <w:tr>
        <w:tblPrEx>
          <w:tblCellMar>
            <w:top w:w="0" w:type="dxa"/>
            <w:left w:w="10" w:type="dxa"/>
            <w:bottom w:w="0" w:type="dxa"/>
            <w:right w:w="10" w:type="dxa"/>
          </w:tblCellMar>
        </w:tblPrEx>
        <w:trPr>
          <w:trHeight w:val="466" w:hRule="exact"/>
          <w:jc w:val="center"/>
        </w:trPr>
        <w:tc>
          <w:tcPr>
            <w:tcW w:w="1261" w:type="dxa"/>
            <w:vMerge w:val="restart"/>
            <w:tcBorders>
              <w:top w:val="single" w:color="auto" w:sz="4" w:space="0"/>
              <w:left w:val="single" w:color="auto" w:sz="4" w:space="0"/>
            </w:tcBorders>
            <w:shd w:val="clear" w:color="auto" w:fill="FFFFFF"/>
            <w:noWrap w:val="0"/>
            <w:vAlign w:val="center"/>
          </w:tcPr>
          <w:p>
            <w:pPr>
              <w:pStyle w:val="6"/>
              <w:spacing w:line="360" w:lineRule="auto"/>
              <w:jc w:val="center"/>
              <w:rPr>
                <w:color w:val="000000"/>
                <w:sz w:val="24"/>
                <w:szCs w:val="24"/>
              </w:rPr>
            </w:pPr>
            <w:r>
              <w:rPr>
                <w:color w:val="000000"/>
                <w:sz w:val="24"/>
                <w:szCs w:val="24"/>
              </w:rPr>
              <w:t>序号</w:t>
            </w:r>
          </w:p>
        </w:tc>
        <w:tc>
          <w:tcPr>
            <w:tcW w:w="1033" w:type="dxa"/>
            <w:vMerge w:val="restart"/>
            <w:tcBorders>
              <w:top w:val="single" w:color="auto" w:sz="4" w:space="0"/>
              <w:left w:val="single" w:color="auto" w:sz="4" w:space="0"/>
            </w:tcBorders>
            <w:shd w:val="clear" w:color="auto" w:fill="FFFFFF"/>
            <w:noWrap w:val="0"/>
            <w:vAlign w:val="center"/>
          </w:tcPr>
          <w:p>
            <w:pPr>
              <w:pStyle w:val="6"/>
              <w:spacing w:line="360" w:lineRule="auto"/>
              <w:rPr>
                <w:color w:val="000000"/>
                <w:sz w:val="24"/>
                <w:szCs w:val="24"/>
              </w:rPr>
            </w:pPr>
            <w:r>
              <w:rPr>
                <w:color w:val="000000"/>
                <w:sz w:val="24"/>
                <w:szCs w:val="24"/>
              </w:rPr>
              <w:t>市、县</w:t>
            </w:r>
          </w:p>
        </w:tc>
        <w:tc>
          <w:tcPr>
            <w:tcW w:w="6962" w:type="dxa"/>
            <w:vMerge w:val="restart"/>
            <w:tcBorders>
              <w:top w:val="single" w:color="auto" w:sz="4" w:space="0"/>
              <w:left w:val="single" w:color="auto" w:sz="4" w:space="0"/>
            </w:tcBorders>
            <w:shd w:val="clear" w:color="auto" w:fill="FFFFFF"/>
            <w:noWrap w:val="0"/>
            <w:vAlign w:val="center"/>
          </w:tcPr>
          <w:p>
            <w:pPr>
              <w:pStyle w:val="6"/>
              <w:spacing w:line="360" w:lineRule="auto"/>
              <w:jc w:val="center"/>
              <w:rPr>
                <w:color w:val="000000"/>
                <w:sz w:val="24"/>
                <w:szCs w:val="24"/>
              </w:rPr>
            </w:pPr>
            <w:r>
              <w:rPr>
                <w:color w:val="000000"/>
                <w:sz w:val="24"/>
                <w:szCs w:val="24"/>
              </w:rPr>
              <w:t>项目区实施规划名称</w:t>
            </w:r>
          </w:p>
        </w:tc>
      </w:tr>
      <w:tr>
        <w:tblPrEx>
          <w:tblCellMar>
            <w:top w:w="0" w:type="dxa"/>
            <w:left w:w="10" w:type="dxa"/>
            <w:bottom w:w="0" w:type="dxa"/>
            <w:right w:w="10" w:type="dxa"/>
          </w:tblCellMar>
        </w:tblPrEx>
        <w:trPr>
          <w:trHeight w:val="432" w:hRule="exact"/>
          <w:jc w:val="center"/>
        </w:trPr>
        <w:tc>
          <w:tcPr>
            <w:tcW w:w="1261" w:type="dxa"/>
            <w:vMerge w:val="continue"/>
            <w:tcBorders>
              <w:left w:val="single" w:color="auto" w:sz="4" w:space="0"/>
            </w:tcBorders>
            <w:shd w:val="clear" w:color="auto" w:fill="FFFFFF"/>
            <w:noWrap w:val="0"/>
            <w:vAlign w:val="center"/>
          </w:tcPr>
          <w:p>
            <w:pPr>
              <w:spacing w:line="360" w:lineRule="auto"/>
              <w:rPr>
                <w:color w:val="000000"/>
                <w:sz w:val="24"/>
              </w:rPr>
            </w:pPr>
          </w:p>
        </w:tc>
        <w:tc>
          <w:tcPr>
            <w:tcW w:w="1033" w:type="dxa"/>
            <w:vMerge w:val="continue"/>
            <w:tcBorders>
              <w:left w:val="single" w:color="auto" w:sz="4" w:space="0"/>
            </w:tcBorders>
            <w:shd w:val="clear" w:color="auto" w:fill="FFFFFF"/>
            <w:noWrap w:val="0"/>
            <w:vAlign w:val="center"/>
          </w:tcPr>
          <w:p>
            <w:pPr>
              <w:spacing w:line="360" w:lineRule="auto"/>
              <w:rPr>
                <w:color w:val="000000"/>
                <w:sz w:val="24"/>
              </w:rPr>
            </w:pPr>
          </w:p>
        </w:tc>
        <w:tc>
          <w:tcPr>
            <w:tcW w:w="6962" w:type="dxa"/>
            <w:vMerge w:val="continue"/>
            <w:tcBorders>
              <w:left w:val="single" w:color="auto" w:sz="4" w:space="0"/>
            </w:tcBorders>
            <w:shd w:val="clear" w:color="auto" w:fill="FFFFFF"/>
            <w:noWrap w:val="0"/>
            <w:vAlign w:val="center"/>
          </w:tcPr>
          <w:p>
            <w:pPr>
              <w:spacing w:line="360" w:lineRule="auto"/>
              <w:rPr>
                <w:color w:val="000000"/>
                <w:sz w:val="24"/>
              </w:rPr>
            </w:pPr>
          </w:p>
        </w:tc>
      </w:tr>
      <w:tr>
        <w:tblPrEx>
          <w:tblCellMar>
            <w:top w:w="0" w:type="dxa"/>
            <w:left w:w="10" w:type="dxa"/>
            <w:bottom w:w="0" w:type="dxa"/>
            <w:right w:w="10" w:type="dxa"/>
          </w:tblCellMar>
        </w:tblPrEx>
        <w:trPr>
          <w:trHeight w:val="312" w:hRule="exact"/>
          <w:jc w:val="center"/>
        </w:trPr>
        <w:tc>
          <w:tcPr>
            <w:tcW w:w="1261" w:type="dxa"/>
            <w:vMerge w:val="continue"/>
            <w:tcBorders>
              <w:left w:val="single" w:color="auto" w:sz="4" w:space="0"/>
            </w:tcBorders>
            <w:shd w:val="clear" w:color="auto" w:fill="FFFFFF"/>
            <w:noWrap w:val="0"/>
            <w:vAlign w:val="center"/>
          </w:tcPr>
          <w:p>
            <w:pPr>
              <w:spacing w:line="360" w:lineRule="auto"/>
              <w:rPr>
                <w:color w:val="000000"/>
                <w:sz w:val="24"/>
              </w:rPr>
            </w:pPr>
          </w:p>
        </w:tc>
        <w:tc>
          <w:tcPr>
            <w:tcW w:w="1033" w:type="dxa"/>
            <w:vMerge w:val="continue"/>
            <w:tcBorders>
              <w:left w:val="single" w:color="auto" w:sz="4" w:space="0"/>
            </w:tcBorders>
            <w:shd w:val="clear" w:color="auto" w:fill="FFFFFF"/>
            <w:noWrap w:val="0"/>
            <w:vAlign w:val="center"/>
          </w:tcPr>
          <w:p>
            <w:pPr>
              <w:spacing w:line="360" w:lineRule="auto"/>
              <w:rPr>
                <w:color w:val="000000"/>
                <w:sz w:val="24"/>
              </w:rPr>
            </w:pPr>
          </w:p>
        </w:tc>
        <w:tc>
          <w:tcPr>
            <w:tcW w:w="6962" w:type="dxa"/>
            <w:vMerge w:val="continue"/>
            <w:tcBorders>
              <w:left w:val="single" w:color="auto" w:sz="4" w:space="0"/>
            </w:tcBorders>
            <w:shd w:val="clear" w:color="auto" w:fill="FFFFFF"/>
            <w:noWrap w:val="0"/>
            <w:vAlign w:val="center"/>
          </w:tcPr>
          <w:p>
            <w:pPr>
              <w:spacing w:line="360" w:lineRule="auto"/>
              <w:rPr>
                <w:color w:val="000000"/>
                <w:sz w:val="24"/>
              </w:rPr>
            </w:pPr>
          </w:p>
        </w:tc>
      </w:tr>
      <w:tr>
        <w:tblPrEx>
          <w:tblCellMar>
            <w:top w:w="0" w:type="dxa"/>
            <w:left w:w="10" w:type="dxa"/>
            <w:bottom w:w="0" w:type="dxa"/>
            <w:right w:w="10" w:type="dxa"/>
          </w:tblCellMar>
        </w:tblPrEx>
        <w:trPr>
          <w:trHeight w:val="1077"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eastAsia="zh-CN"/>
              </w:rPr>
            </w:pPr>
            <w:r>
              <w:rPr>
                <w:rFonts w:hint="eastAsia"/>
                <w:color w:val="000000"/>
                <w:sz w:val="24"/>
                <w:szCs w:val="24"/>
                <w:lang w:val="en-US" w:eastAsia="zh-CN"/>
              </w:rPr>
              <w:t>1</w:t>
            </w:r>
          </w:p>
        </w:tc>
        <w:tc>
          <w:tcPr>
            <w:tcW w:w="1033" w:type="dxa"/>
            <w:tcBorders>
              <w:top w:val="single" w:color="auto" w:sz="4" w:space="0"/>
              <w:left w:val="single" w:color="auto" w:sz="4" w:space="0"/>
            </w:tcBorders>
            <w:shd w:val="clear" w:color="auto" w:fill="FFFFFF"/>
            <w:noWrap w:val="0"/>
            <w:vAlign w:val="top"/>
          </w:tcPr>
          <w:p>
            <w:pPr>
              <w:pStyle w:val="6"/>
              <w:spacing w:before="80"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bottom"/>
          </w:tcPr>
          <w:p>
            <w:pPr>
              <w:pStyle w:val="6"/>
              <w:spacing w:line="360" w:lineRule="auto"/>
              <w:rPr>
                <w:color w:val="000000"/>
                <w:sz w:val="24"/>
                <w:szCs w:val="24"/>
              </w:rPr>
            </w:pPr>
            <w:r>
              <w:rPr>
                <w:color w:val="000000"/>
                <w:sz w:val="24"/>
                <w:szCs w:val="24"/>
              </w:rPr>
              <w:t>四川省广元市旺苍县万山乡长征村、漆树村、星光村、蒙 溪村、菊花村、云雾村、万里村城乡建设用地增减挂钩项目区</w:t>
            </w:r>
          </w:p>
        </w:tc>
      </w:tr>
      <w:tr>
        <w:tblPrEx>
          <w:tblCellMar>
            <w:top w:w="0" w:type="dxa"/>
            <w:left w:w="10" w:type="dxa"/>
            <w:bottom w:w="0" w:type="dxa"/>
            <w:right w:w="10" w:type="dxa"/>
          </w:tblCellMar>
        </w:tblPrEx>
        <w:trPr>
          <w:trHeight w:val="1002"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eastAsia="zh-CN"/>
              </w:rPr>
            </w:pPr>
            <w:r>
              <w:rPr>
                <w:rFonts w:hint="eastAsia"/>
                <w:color w:val="000000"/>
                <w:sz w:val="24"/>
                <w:szCs w:val="24"/>
                <w:lang w:val="en-US" w:eastAsia="zh-CN"/>
              </w:rPr>
              <w:t>2</w:t>
            </w:r>
          </w:p>
        </w:tc>
        <w:tc>
          <w:tcPr>
            <w:tcW w:w="1033" w:type="dxa"/>
            <w:tcBorders>
              <w:top w:val="single" w:color="auto" w:sz="4" w:space="0"/>
              <w:left w:val="single" w:color="auto" w:sz="4" w:space="0"/>
            </w:tcBorders>
            <w:shd w:val="clear" w:color="auto" w:fill="FFFFFF"/>
            <w:noWrap w:val="0"/>
            <w:vAlign w:val="top"/>
          </w:tcPr>
          <w:p>
            <w:pPr>
              <w:pStyle w:val="6"/>
              <w:spacing w:before="100" w:line="360" w:lineRule="auto"/>
              <w:rPr>
                <w:color w:val="000000"/>
                <w:sz w:val="24"/>
                <w:szCs w:val="24"/>
              </w:rPr>
            </w:pPr>
            <w:r>
              <w:rPr>
                <w:color w:val="000000"/>
                <w:sz w:val="24"/>
                <w:szCs w:val="24"/>
              </w:rPr>
              <w:t>广元市旺</w:t>
            </w:r>
          </w:p>
          <w:p>
            <w:pPr>
              <w:pStyle w:val="6"/>
              <w:spacing w:line="360" w:lineRule="auto"/>
              <w:ind w:firstLine="240"/>
              <w:rPr>
                <w:color w:val="000000"/>
                <w:sz w:val="24"/>
                <w:szCs w:val="24"/>
              </w:rPr>
            </w:pPr>
            <w:r>
              <w:rPr>
                <w:color w:val="000000"/>
                <w:sz w:val="24"/>
                <w:szCs w:val="24"/>
              </w:rPr>
              <w:t>苍县</w:t>
            </w:r>
          </w:p>
        </w:tc>
        <w:tc>
          <w:tcPr>
            <w:tcW w:w="6962" w:type="dxa"/>
            <w:tcBorders>
              <w:top w:val="single" w:color="auto" w:sz="4" w:space="0"/>
              <w:left w:val="single" w:color="auto" w:sz="4" w:space="0"/>
            </w:tcBorders>
            <w:shd w:val="clear" w:color="auto" w:fill="FFFFFF"/>
            <w:noWrap w:val="0"/>
            <w:vAlign w:val="bottom"/>
          </w:tcPr>
          <w:p>
            <w:pPr>
              <w:pStyle w:val="6"/>
              <w:spacing w:line="360" w:lineRule="auto"/>
              <w:rPr>
                <w:color w:val="000000"/>
                <w:sz w:val="24"/>
                <w:szCs w:val="24"/>
              </w:rPr>
            </w:pPr>
            <w:r>
              <w:rPr>
                <w:color w:val="000000"/>
                <w:sz w:val="24"/>
                <w:szCs w:val="24"/>
              </w:rPr>
              <w:t>四川省广元市旺苍县麻英乡建设村、新民村、水羣村、旗 杆村、龙珠村、小岩村、燕山村、松林村城乡建设用地增减挂钩项目区</w:t>
            </w:r>
          </w:p>
        </w:tc>
      </w:tr>
      <w:tr>
        <w:tblPrEx>
          <w:tblCellMar>
            <w:top w:w="0" w:type="dxa"/>
            <w:left w:w="10" w:type="dxa"/>
            <w:bottom w:w="0" w:type="dxa"/>
            <w:right w:w="10" w:type="dxa"/>
          </w:tblCellMar>
        </w:tblPrEx>
        <w:trPr>
          <w:trHeight w:val="1156"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jc w:val="center"/>
              <w:rPr>
                <w:color w:val="000000"/>
                <w:sz w:val="24"/>
                <w:szCs w:val="24"/>
                <w:lang w:eastAsia="zh-CN"/>
              </w:rPr>
            </w:pPr>
            <w:r>
              <w:rPr>
                <w:color w:val="000000"/>
                <w:sz w:val="24"/>
                <w:szCs w:val="24"/>
                <w:lang w:val="en-US" w:eastAsia="zh-CN"/>
              </w:rPr>
              <w:t xml:space="preserve"> </w:t>
            </w:r>
            <w:r>
              <w:rPr>
                <w:rFonts w:hint="eastAsia"/>
                <w:color w:val="000000"/>
                <w:sz w:val="24"/>
                <w:szCs w:val="24"/>
                <w:lang w:val="en-US" w:eastAsia="zh-CN"/>
              </w:rPr>
              <w:t>3</w:t>
            </w:r>
          </w:p>
        </w:tc>
        <w:tc>
          <w:tcPr>
            <w:tcW w:w="1033" w:type="dxa"/>
            <w:tcBorders>
              <w:top w:val="single" w:color="auto" w:sz="4" w:space="0"/>
              <w:left w:val="single" w:color="auto" w:sz="4" w:space="0"/>
            </w:tcBorders>
            <w:shd w:val="clear" w:color="auto" w:fill="FFFFFF"/>
            <w:noWrap w:val="0"/>
            <w:vAlign w:val="bottom"/>
          </w:tcPr>
          <w:p>
            <w:pPr>
              <w:pStyle w:val="6"/>
              <w:spacing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bottom"/>
          </w:tcPr>
          <w:p>
            <w:pPr>
              <w:pStyle w:val="6"/>
              <w:spacing w:line="360" w:lineRule="auto"/>
              <w:rPr>
                <w:color w:val="000000"/>
                <w:sz w:val="24"/>
                <w:szCs w:val="24"/>
              </w:rPr>
            </w:pPr>
            <w:r>
              <w:rPr>
                <w:color w:val="000000"/>
                <w:sz w:val="24"/>
                <w:szCs w:val="24"/>
              </w:rPr>
              <w:t>四川省广元市旺苍县福庆乡光辉村、新农村、双河村、农 经村、红光村城乡建设用地增减挂钩项目区</w:t>
            </w:r>
          </w:p>
        </w:tc>
      </w:tr>
      <w:tr>
        <w:tblPrEx>
          <w:tblCellMar>
            <w:top w:w="0" w:type="dxa"/>
            <w:left w:w="10" w:type="dxa"/>
            <w:bottom w:w="0" w:type="dxa"/>
            <w:right w:w="10" w:type="dxa"/>
          </w:tblCellMar>
        </w:tblPrEx>
        <w:trPr>
          <w:trHeight w:val="1051"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eastAsia="zh-CN"/>
              </w:rPr>
            </w:pPr>
            <w:r>
              <w:rPr>
                <w:rFonts w:hint="eastAsia"/>
                <w:color w:val="000000"/>
                <w:sz w:val="24"/>
                <w:szCs w:val="24"/>
                <w:lang w:val="en-US" w:eastAsia="zh-CN"/>
              </w:rPr>
              <w:t>4</w:t>
            </w:r>
          </w:p>
        </w:tc>
        <w:tc>
          <w:tcPr>
            <w:tcW w:w="1033" w:type="dxa"/>
            <w:tcBorders>
              <w:top w:val="single" w:color="auto" w:sz="4" w:space="0"/>
              <w:left w:val="single" w:color="auto" w:sz="4" w:space="0"/>
            </w:tcBorders>
            <w:shd w:val="clear" w:color="auto" w:fill="FFFFFF"/>
            <w:noWrap w:val="0"/>
            <w:vAlign w:val="bottom"/>
          </w:tcPr>
          <w:p>
            <w:pPr>
              <w:pStyle w:val="6"/>
              <w:spacing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bottom"/>
          </w:tcPr>
          <w:p>
            <w:pPr>
              <w:pStyle w:val="6"/>
              <w:spacing w:line="360" w:lineRule="auto"/>
              <w:rPr>
                <w:color w:val="000000"/>
                <w:sz w:val="24"/>
                <w:szCs w:val="24"/>
              </w:rPr>
            </w:pPr>
            <w:r>
              <w:rPr>
                <w:color w:val="000000"/>
                <w:sz w:val="24"/>
                <w:szCs w:val="24"/>
              </w:rPr>
              <w:t>四川省广元市旺苍县福庆乡红花村、农纲村、牌坊村、明 星村城乡建设用地增减挂钩项目区</w:t>
            </w:r>
          </w:p>
        </w:tc>
      </w:tr>
      <w:tr>
        <w:tblPrEx>
          <w:tblCellMar>
            <w:top w:w="0" w:type="dxa"/>
            <w:left w:w="10" w:type="dxa"/>
            <w:bottom w:w="0" w:type="dxa"/>
            <w:right w:w="10" w:type="dxa"/>
          </w:tblCellMar>
        </w:tblPrEx>
        <w:trPr>
          <w:trHeight w:val="901"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eastAsia="zh-CN"/>
              </w:rPr>
            </w:pPr>
            <w:r>
              <w:rPr>
                <w:rFonts w:hint="eastAsia"/>
                <w:color w:val="000000"/>
                <w:sz w:val="24"/>
                <w:szCs w:val="24"/>
                <w:lang w:val="en-US" w:eastAsia="zh-CN"/>
              </w:rPr>
              <w:t>5</w:t>
            </w:r>
          </w:p>
        </w:tc>
        <w:tc>
          <w:tcPr>
            <w:tcW w:w="1033" w:type="dxa"/>
            <w:tcBorders>
              <w:top w:val="single" w:color="auto" w:sz="4" w:space="0"/>
              <w:left w:val="single" w:color="auto" w:sz="4" w:space="0"/>
            </w:tcBorders>
            <w:shd w:val="clear" w:color="auto" w:fill="FFFFFF"/>
            <w:noWrap w:val="0"/>
            <w:vAlign w:val="bottom"/>
          </w:tcPr>
          <w:p>
            <w:pPr>
              <w:pStyle w:val="6"/>
              <w:spacing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bottom"/>
          </w:tcPr>
          <w:p>
            <w:pPr>
              <w:pStyle w:val="6"/>
              <w:spacing w:line="360" w:lineRule="auto"/>
              <w:rPr>
                <w:color w:val="000000"/>
                <w:sz w:val="24"/>
                <w:szCs w:val="24"/>
              </w:rPr>
            </w:pPr>
            <w:r>
              <w:rPr>
                <w:color w:val="000000"/>
                <w:sz w:val="24"/>
                <w:szCs w:val="24"/>
              </w:rPr>
              <w:t>四川省广元市旺苍县国华镇山峰村、山湾村、山坪村、春 风村城乡建设用地增减挂钩项目区</w:t>
            </w:r>
          </w:p>
        </w:tc>
      </w:tr>
      <w:tr>
        <w:tblPrEx>
          <w:tblCellMar>
            <w:top w:w="0" w:type="dxa"/>
            <w:left w:w="10" w:type="dxa"/>
            <w:bottom w:w="0" w:type="dxa"/>
            <w:right w:w="10" w:type="dxa"/>
          </w:tblCellMar>
        </w:tblPrEx>
        <w:trPr>
          <w:trHeight w:val="856"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eastAsia="zh-CN"/>
              </w:rPr>
            </w:pPr>
            <w:r>
              <w:rPr>
                <w:rFonts w:hint="eastAsia"/>
                <w:color w:val="000000"/>
                <w:sz w:val="24"/>
                <w:szCs w:val="24"/>
                <w:lang w:val="en-US" w:eastAsia="zh-CN"/>
              </w:rPr>
              <w:t>6</w:t>
            </w:r>
          </w:p>
        </w:tc>
        <w:tc>
          <w:tcPr>
            <w:tcW w:w="1033" w:type="dxa"/>
            <w:tcBorders>
              <w:top w:val="single" w:color="auto" w:sz="4" w:space="0"/>
              <w:left w:val="single" w:color="auto" w:sz="4" w:space="0"/>
            </w:tcBorders>
            <w:shd w:val="clear" w:color="auto" w:fill="FFFFFF"/>
            <w:noWrap w:val="0"/>
            <w:vAlign w:val="bottom"/>
          </w:tcPr>
          <w:p>
            <w:pPr>
              <w:pStyle w:val="6"/>
              <w:spacing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bottom"/>
          </w:tcPr>
          <w:p>
            <w:pPr>
              <w:pStyle w:val="6"/>
              <w:spacing w:line="360" w:lineRule="auto"/>
              <w:rPr>
                <w:color w:val="000000"/>
                <w:sz w:val="24"/>
                <w:szCs w:val="24"/>
              </w:rPr>
            </w:pPr>
            <w:r>
              <w:rPr>
                <w:color w:val="000000"/>
                <w:sz w:val="24"/>
                <w:szCs w:val="24"/>
              </w:rPr>
              <w:t>四川省广元市旺苍县国华镇花街村、石岗村、小河村、山 寨村、古松村城乡建设用地增减挂钩项目区</w:t>
            </w:r>
          </w:p>
        </w:tc>
      </w:tr>
      <w:tr>
        <w:tblPrEx>
          <w:tblCellMar>
            <w:top w:w="0" w:type="dxa"/>
            <w:left w:w="10" w:type="dxa"/>
            <w:bottom w:w="0" w:type="dxa"/>
            <w:right w:w="10" w:type="dxa"/>
          </w:tblCellMar>
        </w:tblPrEx>
        <w:trPr>
          <w:trHeight w:val="1206"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eastAsia="zh-CN"/>
              </w:rPr>
            </w:pPr>
            <w:r>
              <w:rPr>
                <w:rFonts w:hint="eastAsia"/>
                <w:color w:val="000000"/>
                <w:sz w:val="24"/>
                <w:szCs w:val="24"/>
                <w:lang w:val="en-US" w:eastAsia="zh-CN"/>
              </w:rPr>
              <w:t>7</w:t>
            </w:r>
          </w:p>
        </w:tc>
        <w:tc>
          <w:tcPr>
            <w:tcW w:w="1033" w:type="dxa"/>
            <w:tcBorders>
              <w:top w:val="single" w:color="auto" w:sz="4" w:space="0"/>
              <w:left w:val="single" w:color="auto" w:sz="4" w:space="0"/>
            </w:tcBorders>
            <w:shd w:val="clear" w:color="auto" w:fill="FFFFFF"/>
            <w:noWrap w:val="0"/>
            <w:vAlign w:val="top"/>
          </w:tcPr>
          <w:p>
            <w:pPr>
              <w:pStyle w:val="6"/>
              <w:spacing w:before="100"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bottom"/>
          </w:tcPr>
          <w:p>
            <w:pPr>
              <w:pStyle w:val="6"/>
              <w:spacing w:line="360" w:lineRule="auto"/>
              <w:rPr>
                <w:color w:val="000000"/>
                <w:sz w:val="24"/>
                <w:szCs w:val="24"/>
              </w:rPr>
            </w:pPr>
            <w:r>
              <w:rPr>
                <w:color w:val="000000"/>
                <w:sz w:val="24"/>
                <w:szCs w:val="24"/>
              </w:rPr>
              <w:t>四川省广元市旺苍县天星乡红岩村、黄松村、大山村、木 瓜村、云茎村、板桥村、洪水村、青羣村城乡建设用地增 减挂钩项目区</w:t>
            </w:r>
          </w:p>
        </w:tc>
      </w:tr>
      <w:tr>
        <w:tblPrEx>
          <w:tblCellMar>
            <w:top w:w="0" w:type="dxa"/>
            <w:left w:w="10" w:type="dxa"/>
            <w:bottom w:w="0" w:type="dxa"/>
            <w:right w:w="10" w:type="dxa"/>
          </w:tblCellMar>
        </w:tblPrEx>
        <w:trPr>
          <w:trHeight w:val="1336"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eastAsia="zh-CN"/>
              </w:rPr>
            </w:pPr>
            <w:r>
              <w:rPr>
                <w:rFonts w:hint="eastAsia"/>
                <w:color w:val="000000"/>
                <w:sz w:val="24"/>
                <w:szCs w:val="24"/>
                <w:lang w:val="en-US" w:eastAsia="zh-CN"/>
              </w:rPr>
              <w:t>8</w:t>
            </w:r>
          </w:p>
        </w:tc>
        <w:tc>
          <w:tcPr>
            <w:tcW w:w="1033" w:type="dxa"/>
            <w:tcBorders>
              <w:top w:val="single" w:color="auto" w:sz="4" w:space="0"/>
              <w:left w:val="single" w:color="auto" w:sz="4" w:space="0"/>
            </w:tcBorders>
            <w:shd w:val="clear" w:color="auto" w:fill="FFFFFF"/>
            <w:noWrap w:val="0"/>
            <w:vAlign w:val="top"/>
          </w:tcPr>
          <w:p>
            <w:pPr>
              <w:pStyle w:val="6"/>
              <w:spacing w:before="100"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bottom"/>
          </w:tcPr>
          <w:p>
            <w:pPr>
              <w:pStyle w:val="6"/>
              <w:spacing w:line="360" w:lineRule="auto"/>
              <w:rPr>
                <w:color w:val="000000"/>
                <w:sz w:val="24"/>
                <w:szCs w:val="24"/>
              </w:rPr>
            </w:pPr>
            <w:r>
              <w:rPr>
                <w:color w:val="000000"/>
                <w:sz w:val="24"/>
                <w:szCs w:val="24"/>
              </w:rPr>
              <w:t>四川省广元市旺苍县双汇镇汶水村、毛寨村、永庆村、龙 泉村、东山村、金龙村、桥安村、大坪村、斑竹村、莲花 村城乡建设用地增减挂钩项目区</w:t>
            </w:r>
          </w:p>
        </w:tc>
      </w:tr>
      <w:tr>
        <w:tblPrEx>
          <w:tblCellMar>
            <w:top w:w="0" w:type="dxa"/>
            <w:left w:w="10" w:type="dxa"/>
            <w:bottom w:w="0" w:type="dxa"/>
            <w:right w:w="10" w:type="dxa"/>
          </w:tblCellMar>
        </w:tblPrEx>
        <w:trPr>
          <w:trHeight w:val="836"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eastAsia="zh-CN"/>
              </w:rPr>
            </w:pPr>
            <w:r>
              <w:rPr>
                <w:rFonts w:hint="eastAsia"/>
                <w:color w:val="000000"/>
                <w:sz w:val="24"/>
                <w:szCs w:val="24"/>
                <w:lang w:val="en-US" w:eastAsia="zh-CN"/>
              </w:rPr>
              <w:t>9</w:t>
            </w:r>
          </w:p>
        </w:tc>
        <w:tc>
          <w:tcPr>
            <w:tcW w:w="1033" w:type="dxa"/>
            <w:tcBorders>
              <w:top w:val="single" w:color="auto" w:sz="4" w:space="0"/>
              <w:left w:val="single" w:color="auto" w:sz="4" w:space="0"/>
            </w:tcBorders>
            <w:shd w:val="clear" w:color="auto" w:fill="FFFFFF"/>
            <w:noWrap w:val="0"/>
            <w:vAlign w:val="bottom"/>
          </w:tcPr>
          <w:p>
            <w:pPr>
              <w:pStyle w:val="6"/>
              <w:spacing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bottom"/>
          </w:tcPr>
          <w:p>
            <w:pPr>
              <w:pStyle w:val="6"/>
              <w:spacing w:line="360" w:lineRule="auto"/>
              <w:rPr>
                <w:color w:val="000000"/>
                <w:sz w:val="24"/>
                <w:szCs w:val="24"/>
              </w:rPr>
            </w:pPr>
            <w:r>
              <w:rPr>
                <w:color w:val="000000"/>
                <w:sz w:val="24"/>
                <w:szCs w:val="24"/>
              </w:rPr>
              <w:t>四川省广元市旺苍县高阳镇虎场村、鹿渡村、枣树村、宋 江村、温泉村城乡建设用地增减挂钩项目区</w:t>
            </w:r>
          </w:p>
        </w:tc>
      </w:tr>
      <w:tr>
        <w:tblPrEx>
          <w:tblCellMar>
            <w:top w:w="0" w:type="dxa"/>
            <w:left w:w="10" w:type="dxa"/>
            <w:bottom w:w="0" w:type="dxa"/>
            <w:right w:w="10" w:type="dxa"/>
          </w:tblCellMar>
        </w:tblPrEx>
        <w:trPr>
          <w:trHeight w:val="966"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val="en-US" w:eastAsia="zh-CN"/>
              </w:rPr>
            </w:pPr>
            <w:r>
              <w:rPr>
                <w:rFonts w:hint="eastAsia"/>
                <w:color w:val="000000"/>
                <w:sz w:val="24"/>
                <w:szCs w:val="24"/>
                <w:lang w:val="en-US" w:eastAsia="zh-CN"/>
              </w:rPr>
              <w:t>10</w:t>
            </w:r>
          </w:p>
        </w:tc>
        <w:tc>
          <w:tcPr>
            <w:tcW w:w="1033" w:type="dxa"/>
            <w:tcBorders>
              <w:top w:val="single" w:color="auto" w:sz="4" w:space="0"/>
              <w:left w:val="single" w:color="auto" w:sz="4" w:space="0"/>
            </w:tcBorders>
            <w:shd w:val="clear" w:color="auto" w:fill="FFFFFF"/>
            <w:noWrap w:val="0"/>
            <w:vAlign w:val="center"/>
          </w:tcPr>
          <w:p>
            <w:pPr>
              <w:pStyle w:val="6"/>
              <w:spacing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bottom"/>
          </w:tcPr>
          <w:p>
            <w:pPr>
              <w:pStyle w:val="6"/>
              <w:spacing w:line="360" w:lineRule="auto"/>
              <w:rPr>
                <w:color w:val="000000"/>
                <w:sz w:val="24"/>
                <w:szCs w:val="24"/>
              </w:rPr>
            </w:pPr>
            <w:r>
              <w:rPr>
                <w:color w:val="000000"/>
                <w:sz w:val="24"/>
                <w:szCs w:val="24"/>
              </w:rPr>
              <w:t>四川省广元市旺苍县高阳镇檬子村、向阳村、支溪村、双 午村、古柏村、关山村、崔河村、水磨村城乡建设用地增 减挂钩项目区</w:t>
            </w:r>
          </w:p>
        </w:tc>
      </w:tr>
      <w:tr>
        <w:tblPrEx>
          <w:tblCellMar>
            <w:top w:w="0" w:type="dxa"/>
            <w:left w:w="10" w:type="dxa"/>
            <w:bottom w:w="0" w:type="dxa"/>
            <w:right w:w="10" w:type="dxa"/>
          </w:tblCellMar>
        </w:tblPrEx>
        <w:trPr>
          <w:trHeight w:val="1181"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val="en-US" w:eastAsia="zh-CN"/>
              </w:rPr>
            </w:pPr>
            <w:r>
              <w:rPr>
                <w:rFonts w:hint="eastAsia"/>
                <w:color w:val="000000"/>
                <w:sz w:val="24"/>
                <w:szCs w:val="24"/>
                <w:lang w:val="en-US" w:eastAsia="zh-CN"/>
              </w:rPr>
              <w:t>11</w:t>
            </w:r>
          </w:p>
        </w:tc>
        <w:tc>
          <w:tcPr>
            <w:tcW w:w="1033" w:type="dxa"/>
            <w:tcBorders>
              <w:top w:val="single" w:color="auto" w:sz="4" w:space="0"/>
              <w:left w:val="single" w:color="auto" w:sz="4" w:space="0"/>
            </w:tcBorders>
            <w:shd w:val="clear" w:color="auto" w:fill="FFFFFF"/>
            <w:noWrap w:val="0"/>
            <w:vAlign w:val="top"/>
          </w:tcPr>
          <w:p>
            <w:pPr>
              <w:pStyle w:val="6"/>
              <w:spacing w:before="100"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bottom"/>
          </w:tcPr>
          <w:p>
            <w:pPr>
              <w:pStyle w:val="6"/>
              <w:spacing w:line="360" w:lineRule="auto"/>
              <w:rPr>
                <w:color w:val="000000"/>
                <w:sz w:val="24"/>
                <w:szCs w:val="24"/>
              </w:rPr>
            </w:pPr>
            <w:r>
              <w:rPr>
                <w:color w:val="000000"/>
                <w:sz w:val="24"/>
                <w:szCs w:val="24"/>
              </w:rPr>
              <w:t>四川省广元市旺苍县正源乡茶农村、辕门村、竹园村、学 堂村、白鹤村、卫星村、深溪沟村城乡建设用地增减挂钩 项目区</w:t>
            </w:r>
          </w:p>
        </w:tc>
      </w:tr>
      <w:tr>
        <w:tblPrEx>
          <w:tblCellMar>
            <w:top w:w="0" w:type="dxa"/>
            <w:left w:w="10" w:type="dxa"/>
            <w:bottom w:w="0" w:type="dxa"/>
            <w:right w:w="10" w:type="dxa"/>
          </w:tblCellMar>
        </w:tblPrEx>
        <w:trPr>
          <w:trHeight w:val="952"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eastAsia="zh-CN"/>
              </w:rPr>
            </w:pPr>
            <w:r>
              <w:rPr>
                <w:color w:val="000000"/>
                <w:sz w:val="24"/>
                <w:szCs w:val="24"/>
              </w:rPr>
              <w:t>1</w:t>
            </w:r>
            <w:r>
              <w:rPr>
                <w:rFonts w:hint="eastAsia"/>
                <w:color w:val="000000"/>
                <w:sz w:val="24"/>
                <w:szCs w:val="24"/>
                <w:lang w:val="en-US" w:eastAsia="zh-CN"/>
              </w:rPr>
              <w:t>2</w:t>
            </w:r>
          </w:p>
        </w:tc>
        <w:tc>
          <w:tcPr>
            <w:tcW w:w="1033" w:type="dxa"/>
            <w:tcBorders>
              <w:top w:val="single" w:color="auto" w:sz="4" w:space="0"/>
              <w:left w:val="single" w:color="auto" w:sz="4" w:space="0"/>
            </w:tcBorders>
            <w:shd w:val="clear" w:color="auto" w:fill="FFFFFF"/>
            <w:noWrap w:val="0"/>
            <w:vAlign w:val="top"/>
          </w:tcPr>
          <w:p>
            <w:pPr>
              <w:pStyle w:val="6"/>
              <w:spacing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top"/>
          </w:tcPr>
          <w:p>
            <w:pPr>
              <w:pStyle w:val="6"/>
              <w:spacing w:line="360" w:lineRule="auto"/>
              <w:rPr>
                <w:color w:val="000000"/>
                <w:sz w:val="24"/>
                <w:szCs w:val="24"/>
              </w:rPr>
            </w:pPr>
            <w:r>
              <w:rPr>
                <w:color w:val="000000"/>
                <w:sz w:val="24"/>
                <w:szCs w:val="24"/>
              </w:rPr>
              <w:t>四川省广元市旺苍县燕子乡河西村、金银村、绿化村、青 松村、双全村、松龙村、燕午村城乡建设用地增减挂钩项目区</w:t>
            </w:r>
          </w:p>
        </w:tc>
      </w:tr>
      <w:tr>
        <w:tblPrEx>
          <w:tblCellMar>
            <w:top w:w="0" w:type="dxa"/>
            <w:left w:w="10" w:type="dxa"/>
            <w:bottom w:w="0" w:type="dxa"/>
            <w:right w:w="10" w:type="dxa"/>
          </w:tblCellMar>
        </w:tblPrEx>
        <w:trPr>
          <w:trHeight w:val="1481" w:hRule="exact"/>
          <w:jc w:val="center"/>
        </w:trPr>
        <w:tc>
          <w:tcPr>
            <w:tcW w:w="1261" w:type="dxa"/>
            <w:tcBorders>
              <w:top w:val="single" w:color="auto" w:sz="4" w:space="0"/>
              <w:left w:val="single" w:color="auto" w:sz="4" w:space="0"/>
            </w:tcBorders>
            <w:shd w:val="clear" w:color="auto" w:fill="FFFFFF"/>
            <w:noWrap w:val="0"/>
            <w:vAlign w:val="center"/>
          </w:tcPr>
          <w:p>
            <w:pPr>
              <w:pStyle w:val="6"/>
              <w:spacing w:line="360" w:lineRule="auto"/>
              <w:ind w:firstLine="200"/>
              <w:jc w:val="center"/>
              <w:rPr>
                <w:color w:val="000000"/>
                <w:sz w:val="24"/>
                <w:szCs w:val="24"/>
                <w:lang w:eastAsia="zh-CN"/>
              </w:rPr>
            </w:pPr>
            <w:r>
              <w:rPr>
                <w:color w:val="000000"/>
                <w:sz w:val="24"/>
                <w:szCs w:val="24"/>
              </w:rPr>
              <w:t>1</w:t>
            </w:r>
            <w:r>
              <w:rPr>
                <w:rFonts w:hint="eastAsia"/>
                <w:color w:val="000000"/>
                <w:sz w:val="24"/>
                <w:szCs w:val="24"/>
                <w:lang w:val="en-US" w:eastAsia="zh-CN"/>
              </w:rPr>
              <w:t>3</w:t>
            </w:r>
          </w:p>
        </w:tc>
        <w:tc>
          <w:tcPr>
            <w:tcW w:w="1033" w:type="dxa"/>
            <w:tcBorders>
              <w:top w:val="single" w:color="auto" w:sz="4" w:space="0"/>
              <w:left w:val="single" w:color="auto" w:sz="4" w:space="0"/>
            </w:tcBorders>
            <w:shd w:val="clear" w:color="auto" w:fill="FFFFFF"/>
            <w:noWrap w:val="0"/>
            <w:vAlign w:val="center"/>
          </w:tcPr>
          <w:p>
            <w:pPr>
              <w:pStyle w:val="6"/>
              <w:spacing w:line="360" w:lineRule="auto"/>
              <w:jc w:val="center"/>
              <w:rPr>
                <w:color w:val="000000"/>
                <w:sz w:val="24"/>
                <w:szCs w:val="24"/>
              </w:rPr>
            </w:pPr>
            <w:r>
              <w:rPr>
                <w:color w:val="000000"/>
                <w:sz w:val="24"/>
                <w:szCs w:val="24"/>
              </w:rPr>
              <w:t>广元市旺 苍县</w:t>
            </w:r>
          </w:p>
        </w:tc>
        <w:tc>
          <w:tcPr>
            <w:tcW w:w="6962" w:type="dxa"/>
            <w:tcBorders>
              <w:top w:val="single" w:color="auto" w:sz="4" w:space="0"/>
              <w:left w:val="single" w:color="auto" w:sz="4" w:space="0"/>
            </w:tcBorders>
            <w:shd w:val="clear" w:color="auto" w:fill="FFFFFF"/>
            <w:noWrap w:val="0"/>
            <w:vAlign w:val="top"/>
          </w:tcPr>
          <w:p>
            <w:pPr>
              <w:pStyle w:val="6"/>
              <w:spacing w:line="360" w:lineRule="auto"/>
              <w:rPr>
                <w:color w:val="000000"/>
                <w:sz w:val="24"/>
                <w:szCs w:val="24"/>
              </w:rPr>
            </w:pPr>
            <w:r>
              <w:rPr>
                <w:color w:val="000000"/>
                <w:sz w:val="24"/>
                <w:szCs w:val="24"/>
              </w:rPr>
              <w:t>四川省广元市旺苍县水磨乡广福村、桥板村、百花村、火 花村、群花村、代弓村、卢坝村城乡建设用地增减挂钩项目区</w:t>
            </w:r>
          </w:p>
        </w:tc>
      </w:tr>
    </w:tbl>
    <w:p>
      <w:pPr>
        <w:spacing w:line="540" w:lineRule="exact"/>
        <w:jc w:val="left"/>
        <w:rPr>
          <w:rFonts w:ascii="宋体" w:hAnsi="宋体" w:cs="宋体"/>
          <w:b/>
          <w:bCs/>
          <w:color w:val="000000"/>
          <w:sz w:val="24"/>
          <w:szCs w:val="24"/>
        </w:rPr>
      </w:pPr>
    </w:p>
    <w:p>
      <w:pPr>
        <w:spacing w:line="540" w:lineRule="exact"/>
        <w:ind w:firstLine="482" w:firstLineChars="200"/>
        <w:jc w:val="left"/>
        <w:rPr>
          <w:rFonts w:hint="eastAsia" w:ascii="宋体" w:hAnsi="宋体" w:cs="宋体"/>
          <w:b/>
          <w:bCs/>
          <w:color w:val="000000"/>
          <w:sz w:val="24"/>
          <w:szCs w:val="24"/>
        </w:rPr>
      </w:pPr>
      <w:r>
        <w:rPr>
          <w:rFonts w:hint="eastAsia" w:ascii="宋体" w:hAnsi="宋体" w:cs="宋体"/>
          <w:b/>
          <w:bCs/>
          <w:color w:val="000000"/>
          <w:sz w:val="24"/>
          <w:szCs w:val="24"/>
        </w:rPr>
        <w:t>（二）服务内容（包含但不仅限于）：</w:t>
      </w:r>
    </w:p>
    <w:p>
      <w:pPr>
        <w:spacing w:line="540" w:lineRule="exact"/>
        <w:ind w:firstLine="480" w:firstLineChars="200"/>
        <w:jc w:val="left"/>
        <w:rPr>
          <w:rFonts w:hint="eastAsia" w:ascii="宋体" w:hAnsi="宋体" w:cs="宋体"/>
          <w:color w:val="000000"/>
          <w:sz w:val="24"/>
          <w:szCs w:val="24"/>
        </w:rPr>
      </w:pPr>
      <w:r>
        <w:rPr>
          <w:rFonts w:ascii="宋体" w:hAnsi="宋体" w:cs="宋体"/>
          <w:color w:val="000000"/>
          <w:sz w:val="24"/>
          <w:szCs w:val="24"/>
        </w:rPr>
        <w:fldChar w:fldCharType="begin"/>
      </w:r>
      <w:r>
        <w:rPr>
          <w:rFonts w:ascii="宋体" w:hAnsi="宋体" w:cs="宋体"/>
          <w:color w:val="000000"/>
          <w:sz w:val="24"/>
          <w:szCs w:val="24"/>
        </w:rPr>
        <w:instrText xml:space="preserve"> </w:instrText>
      </w:r>
      <w:r>
        <w:rPr>
          <w:rFonts w:hint="eastAsia" w:ascii="宋体" w:hAnsi="宋体" w:cs="宋体"/>
          <w:color w:val="000000"/>
          <w:sz w:val="24"/>
          <w:szCs w:val="24"/>
        </w:rPr>
        <w:instrText xml:space="preserve">= 1 \* GB3</w:instrText>
      </w:r>
      <w:r>
        <w:rPr>
          <w:rFonts w:ascii="宋体" w:hAnsi="宋体" w:cs="宋体"/>
          <w:color w:val="000000"/>
          <w:sz w:val="24"/>
          <w:szCs w:val="24"/>
        </w:rPr>
        <w:instrText xml:space="preserve"> </w:instrText>
      </w:r>
      <w:r>
        <w:rPr>
          <w:rFonts w:ascii="宋体" w:hAnsi="宋体" w:cs="宋体"/>
          <w:color w:val="000000"/>
          <w:sz w:val="24"/>
          <w:szCs w:val="24"/>
        </w:rPr>
        <w:fldChar w:fldCharType="separate"/>
      </w:r>
      <w:r>
        <w:rPr>
          <w:rFonts w:hint="eastAsia" w:ascii="宋体" w:hAnsi="宋体" w:cs="宋体"/>
          <w:color w:val="000000"/>
          <w:sz w:val="24"/>
          <w:szCs w:val="24"/>
        </w:rPr>
        <w:t>①</w:t>
      </w:r>
      <w:r>
        <w:rPr>
          <w:rFonts w:ascii="宋体" w:hAnsi="宋体" w:cs="宋体"/>
          <w:color w:val="000000"/>
          <w:sz w:val="24"/>
          <w:szCs w:val="24"/>
        </w:rPr>
        <w:fldChar w:fldCharType="end"/>
      </w:r>
      <w:r>
        <w:rPr>
          <w:rFonts w:hint="eastAsia" w:ascii="宋体" w:hAnsi="宋体" w:cs="宋体"/>
          <w:color w:val="000000"/>
          <w:sz w:val="24"/>
          <w:szCs w:val="24"/>
        </w:rPr>
        <w:t>施工前阶段跟踪审计服务内容：（1）拆旧复垦阶段工程、（2）审核工程设计概算；（3）审核工程预算（招标控制价或标底）和招标工程量清单（含项目特征描述）；（4）审核招标文件、招标答疑文件和投标清单；（5）审核工程施工合同等。分别出具审核报告和施工前阶段的跟踪审计综合审核报告。</w:t>
      </w:r>
    </w:p>
    <w:p>
      <w:pPr>
        <w:spacing w:line="540" w:lineRule="exact"/>
        <w:ind w:firstLine="480" w:firstLineChars="200"/>
        <w:jc w:val="left"/>
        <w:rPr>
          <w:rFonts w:hint="eastAsia" w:ascii="宋体" w:hAnsi="宋体" w:cs="宋体"/>
          <w:color w:val="000000"/>
          <w:sz w:val="24"/>
          <w:szCs w:val="24"/>
        </w:rPr>
      </w:pPr>
      <w:r>
        <w:rPr>
          <w:rFonts w:ascii="宋体" w:hAnsi="宋体" w:cs="宋体"/>
          <w:color w:val="000000"/>
          <w:sz w:val="24"/>
          <w:szCs w:val="24"/>
        </w:rPr>
        <w:fldChar w:fldCharType="begin"/>
      </w:r>
      <w:r>
        <w:rPr>
          <w:rFonts w:ascii="宋体" w:hAnsi="宋体" w:cs="宋体"/>
          <w:color w:val="000000"/>
          <w:sz w:val="24"/>
          <w:szCs w:val="24"/>
        </w:rPr>
        <w:instrText xml:space="preserve"> </w:instrText>
      </w:r>
      <w:r>
        <w:rPr>
          <w:rFonts w:hint="eastAsia" w:ascii="宋体" w:hAnsi="宋体" w:cs="宋体"/>
          <w:color w:val="000000"/>
          <w:sz w:val="24"/>
          <w:szCs w:val="24"/>
        </w:rPr>
        <w:instrText xml:space="preserve">= 2 \* GB3</w:instrText>
      </w:r>
      <w:r>
        <w:rPr>
          <w:rFonts w:ascii="宋体" w:hAnsi="宋体" w:cs="宋体"/>
          <w:color w:val="000000"/>
          <w:sz w:val="24"/>
          <w:szCs w:val="24"/>
        </w:rPr>
        <w:instrText xml:space="preserve"> </w:instrText>
      </w:r>
      <w:r>
        <w:rPr>
          <w:rFonts w:ascii="宋体" w:hAnsi="宋体" w:cs="宋体"/>
          <w:color w:val="000000"/>
          <w:sz w:val="24"/>
          <w:szCs w:val="24"/>
        </w:rPr>
        <w:fldChar w:fldCharType="separate"/>
      </w:r>
      <w:r>
        <w:rPr>
          <w:rFonts w:hint="eastAsia" w:ascii="宋体" w:hAnsi="宋体" w:cs="宋体"/>
          <w:color w:val="000000"/>
          <w:sz w:val="24"/>
          <w:szCs w:val="24"/>
        </w:rPr>
        <w:t>②</w:t>
      </w:r>
      <w:r>
        <w:rPr>
          <w:rFonts w:ascii="宋体" w:hAnsi="宋体" w:cs="宋体"/>
          <w:color w:val="000000"/>
          <w:sz w:val="24"/>
          <w:szCs w:val="24"/>
        </w:rPr>
        <w:fldChar w:fldCharType="end"/>
      </w:r>
      <w:r>
        <w:rPr>
          <w:rFonts w:hint="eastAsia" w:ascii="宋体" w:hAnsi="宋体" w:cs="宋体"/>
          <w:color w:val="000000"/>
          <w:sz w:val="24"/>
          <w:szCs w:val="24"/>
        </w:rPr>
        <w:t>施工阶段跟踪审计服务内容：（1）审核设计变更；（2）审核施工签证；（3）审核主要材料及设备价格；（4）审核主要隐蔽工程及工程验收；（5）审核索赔费用；（6）审核工程进度款等。分别出具审核报告、施工阶段的跟踪审计综合审核报告和整个项目跟踪审计综合审核报告。</w:t>
      </w:r>
    </w:p>
    <w:p>
      <w:pPr>
        <w:spacing w:line="540" w:lineRule="exact"/>
        <w:ind w:firstLine="482" w:firstLineChars="200"/>
        <w:jc w:val="left"/>
        <w:rPr>
          <w:rFonts w:ascii="宋体" w:hAnsi="宋体" w:cs="宋体"/>
          <w:b/>
          <w:bCs/>
          <w:color w:val="000000"/>
          <w:sz w:val="24"/>
          <w:szCs w:val="24"/>
        </w:rPr>
      </w:pPr>
      <w:r>
        <w:rPr>
          <w:rFonts w:hint="eastAsia" w:ascii="宋体" w:hAnsi="宋体" w:cs="宋体"/>
          <w:b/>
          <w:bCs/>
          <w:color w:val="000000"/>
          <w:sz w:val="24"/>
          <w:szCs w:val="24"/>
          <w:lang w:val="en-US" w:eastAsia="zh-CN"/>
        </w:rPr>
        <w:t>三</w:t>
      </w:r>
      <w:r>
        <w:rPr>
          <w:rFonts w:hint="eastAsia" w:ascii="宋体" w:hAnsi="宋体" w:cs="宋体"/>
          <w:b/>
          <w:bCs/>
          <w:color w:val="000000"/>
          <w:sz w:val="24"/>
          <w:szCs w:val="24"/>
        </w:rPr>
        <w:t>、技术及服务要求：</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（1）制订跟踪审计具体实施方案，该方案应包括人员安排、工作计划、技术手段和方法、工作制度等内容；</w:t>
      </w:r>
    </w:p>
    <w:p>
      <w:pPr>
        <w:widowControl/>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（2）派出不低于3名专业技术人员（其中：</w:t>
      </w:r>
      <w:r>
        <w:rPr>
          <w:rFonts w:hint="eastAsia" w:ascii="宋体" w:hAnsi="宋体" w:cs="宋体"/>
          <w:color w:val="000000"/>
          <w:kern w:val="0"/>
          <w:sz w:val="24"/>
          <w:lang w:bidi="ar"/>
        </w:rPr>
        <w:t>财务审计人员1人，具有注册会计师或会计师职称以上资质，工程审计人员2人，具有</w:t>
      </w:r>
      <w:r>
        <w:rPr>
          <w:rFonts w:hint="eastAsia" w:ascii="宋体" w:hAnsi="宋体" w:cs="宋体"/>
          <w:color w:val="000000"/>
          <w:sz w:val="24"/>
          <w:szCs w:val="24"/>
        </w:rPr>
        <w:t>土建专业1人、造价专业1 人）全程负责整个跟踪审计项目，切实保证工作的时间和精力；</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（3）根据委托合同具体约定进行审计，提出审计意见或提供咨询意见；</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4）及时了解工程建设情况，参与该项目相关的各种会议、单项验收、商冾谈判等业务活动，检查隐藏工程的施工情况，全面收集测量、变更、签证等相关资料，形成详细的跟踪审计记录，及时对工程的量、价、费进行审核取证，做到项目竣工，跟踪审计基本结束，归档资料基本到位；</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（5）根据工程项目跟踪审计的实施情况，对工程项目各阶段的管理情况及其结果进行分析和评价，出具分阶段审核报告和整个项目跟踪审计综合审核报告；</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（6）工程项目跟踪审计工作完成后，应向采购人提交完整的审计资料。</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 xml:space="preserve"> （7）在项目审计服务实施的过程中，审计人员必须为响应文件中所配备的人员。同时，与预算编制单位进行对量、对价等实施过程必须在采购人办公室进行，按时参加采购人的工程例会，及时进行现场勘察、验收、跟踪等服务，在项目实施过程中发生的交通费、通讯费、住宿费等相关费用自理。</w:t>
      </w:r>
    </w:p>
    <w:p>
      <w:pPr>
        <w:spacing w:line="440" w:lineRule="exact"/>
        <w:ind w:left="120" w:leftChars="57" w:firstLine="361" w:firstLineChars="150"/>
        <w:rPr>
          <w:rFonts w:hint="eastAsia" w:ascii="宋体"/>
          <w:b/>
          <w:color w:val="000000"/>
          <w:sz w:val="24"/>
          <w:szCs w:val="24"/>
        </w:rPr>
      </w:pPr>
      <w:r>
        <w:rPr>
          <w:rFonts w:hint="eastAsia" w:ascii="宋体"/>
          <w:b/>
          <w:color w:val="000000"/>
          <w:sz w:val="24"/>
          <w:szCs w:val="24"/>
          <w:lang w:val="en-US" w:eastAsia="zh-CN"/>
        </w:rPr>
        <w:t>四</w:t>
      </w:r>
      <w:r>
        <w:rPr>
          <w:rFonts w:hint="eastAsia" w:ascii="宋体"/>
          <w:b/>
          <w:color w:val="000000"/>
          <w:sz w:val="24"/>
          <w:szCs w:val="24"/>
        </w:rPr>
        <w:t>、商务要求：</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 xml:space="preserve">1．服务期限： 自合同签订至项目竣工验收结束止。 </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2．服务地点：旺苍县。</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3．合同签订要求：</w:t>
      </w:r>
    </w:p>
    <w:p>
      <w:pPr>
        <w:spacing w:line="540" w:lineRule="exact"/>
        <w:ind w:firstLine="480" w:firstLineChars="200"/>
        <w:jc w:val="left"/>
        <w:rPr>
          <w:rFonts w:ascii="宋体" w:hAnsi="宋体" w:cs="宋体"/>
          <w:color w:val="000000"/>
          <w:sz w:val="24"/>
          <w:szCs w:val="24"/>
        </w:rPr>
      </w:pPr>
      <w:r>
        <w:rPr>
          <w:rFonts w:hint="eastAsia" w:ascii="宋体" w:hAnsi="宋体" w:cs="宋体"/>
          <w:color w:val="000000"/>
          <w:sz w:val="24"/>
          <w:szCs w:val="24"/>
        </w:rPr>
        <w:t>（1）合同签订时间：领取成交通知书后5日内签订。</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（2）与采购人项下的项目公司四川朝岳建设管理有限责任公司签订合同。</w:t>
      </w:r>
    </w:p>
    <w:p>
      <w:pPr>
        <w:spacing w:line="540" w:lineRule="exact"/>
        <w:ind w:firstLine="480" w:firstLineChars="200"/>
        <w:jc w:val="left"/>
        <w:rPr>
          <w:rFonts w:hint="eastAsia" w:ascii="宋体" w:hAnsi="宋体" w:cs="宋体"/>
          <w:color w:val="000000"/>
          <w:sz w:val="24"/>
          <w:szCs w:val="24"/>
        </w:rPr>
      </w:pPr>
      <w:r>
        <w:rPr>
          <w:rFonts w:hint="eastAsia" w:ascii="宋体" w:hAnsi="宋体" w:cs="宋体"/>
          <w:color w:val="000000"/>
          <w:sz w:val="24"/>
          <w:szCs w:val="24"/>
        </w:rPr>
        <w:t xml:space="preserve"> 4. 付款方式：根据乙方进场安置点场坪完成后付款30%，安置点附属及相关配套完成付款50%，剩余20%在政府审计完成后10入内完成相关跟踪审计资料并移交给业主后方按照审计结果调整支付。</w:t>
      </w:r>
    </w:p>
    <w:p>
      <w:pPr>
        <w:spacing w:line="540" w:lineRule="exact"/>
        <w:ind w:firstLine="480" w:firstLineChars="200"/>
        <w:jc w:val="left"/>
        <w:rPr>
          <w:rFonts w:hint="eastAsia" w:ascii="宋体" w:hAnsi="宋体" w:cs="宋体"/>
          <w:color w:val="000000"/>
          <w:sz w:val="24"/>
          <w:szCs w:val="24"/>
        </w:rPr>
      </w:pPr>
      <w:r>
        <w:rPr>
          <w:rFonts w:hint="eastAsia" w:ascii="宋体" w:hAnsi="宋体" w:eastAsia="宋体" w:cs="宋体"/>
          <w:color w:val="000000"/>
          <w:sz w:val="24"/>
          <w:szCs w:val="24"/>
          <w:lang w:val="en-US" w:eastAsia="zh-CN"/>
        </w:rPr>
        <w:t>5.报价要求：5.报价要求：</w:t>
      </w:r>
      <w:r>
        <w:rPr>
          <w:rFonts w:hint="eastAsia" w:ascii="宋体" w:hAnsi="宋体" w:cs="宋体"/>
          <w:color w:val="000000"/>
          <w:sz w:val="24"/>
          <w:szCs w:val="24"/>
        </w:rPr>
        <w:t>根据项目总金额大小，施工阶段全工程造价控制造价咨询服务费</w:t>
      </w:r>
      <w:r>
        <w:rPr>
          <w:rFonts w:hint="eastAsia" w:ascii="宋体" w:hAnsi="宋体" w:cs="宋体"/>
          <w:color w:val="000000"/>
          <w:sz w:val="24"/>
          <w:szCs w:val="24"/>
          <w:lang w:val="en-US" w:eastAsia="zh-CN"/>
        </w:rPr>
        <w:t>参照</w:t>
      </w:r>
      <w:r>
        <w:rPr>
          <w:rFonts w:hint="eastAsia" w:ascii="宋体" w:hAnsi="宋体" w:cs="宋体"/>
          <w:color w:val="000000"/>
          <w:sz w:val="24"/>
          <w:szCs w:val="24"/>
        </w:rPr>
        <w:t>《关于[工程造价咨询服务收费标准]的通知》（川价发[2008]141号“施工阶段全过程造价控制”</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该项目不能超过</w:t>
      </w:r>
      <w:r>
        <w:rPr>
          <w:rFonts w:hint="eastAsia" w:ascii="宋体" w:hAnsi="宋体" w:cs="宋体"/>
          <w:color w:val="000000"/>
          <w:sz w:val="24"/>
          <w:szCs w:val="24"/>
        </w:rPr>
        <w:t>工程费用的</w:t>
      </w:r>
      <w:r>
        <w:rPr>
          <w:rFonts w:hint="eastAsia" w:ascii="宋体" w:hAnsi="宋体" w:eastAsia="宋体" w:cs="宋体"/>
          <w:color w:val="000000"/>
          <w:sz w:val="24"/>
          <w:szCs w:val="24"/>
          <w:lang w:val="en-US" w:eastAsia="zh-CN"/>
        </w:rPr>
        <w:t>4</w:t>
      </w:r>
      <w:r>
        <w:rPr>
          <w:rFonts w:ascii="宋体" w:hAnsi="宋体" w:cs="宋体"/>
          <w:color w:val="000000"/>
          <w:sz w:val="24"/>
          <w:szCs w:val="24"/>
        </w:rPr>
        <w:t>‰</w:t>
      </w:r>
      <w:r>
        <w:rPr>
          <w:rFonts w:hint="eastAsia" w:ascii="宋体" w:hAnsi="宋体" w:cs="宋体"/>
          <w:color w:val="000000"/>
          <w:sz w:val="24"/>
          <w:szCs w:val="24"/>
        </w:rPr>
        <w:t>（千分之</w:t>
      </w:r>
      <w:r>
        <w:rPr>
          <w:rFonts w:hint="eastAsia" w:ascii="宋体" w:hAnsi="宋体" w:eastAsia="宋体" w:cs="宋体"/>
          <w:color w:val="000000"/>
          <w:sz w:val="24"/>
          <w:szCs w:val="24"/>
          <w:lang w:val="en-US" w:eastAsia="zh-CN"/>
        </w:rPr>
        <w:t>四</w:t>
      </w:r>
      <w:r>
        <w:rPr>
          <w:rFonts w:hint="eastAsia" w:ascii="宋体" w:hAnsi="宋体" w:cs="宋体"/>
          <w:color w:val="000000"/>
          <w:sz w:val="24"/>
          <w:szCs w:val="24"/>
        </w:rPr>
        <w:t>）（费用中不含前期赔偿农户费用，仅为工程建设费用）。</w:t>
      </w:r>
    </w:p>
    <w:p>
      <w:pPr>
        <w:pStyle w:val="2"/>
        <w:rPr>
          <w:rFonts w:hint="eastAsia" w:eastAsia="宋体"/>
          <w:color w:val="000000"/>
          <w:lang w:val="en-US" w:eastAsia="zh-CN"/>
        </w:rPr>
      </w:pPr>
      <w:r>
        <w:rPr>
          <w:rFonts w:hint="eastAsia" w:eastAsia="宋体"/>
          <w:color w:val="000000"/>
          <w:lang w:val="en-US" w:eastAsia="zh-CN"/>
        </w:rPr>
        <w:t xml:space="preserve">    </w:t>
      </w:r>
    </w:p>
    <w:p>
      <w:pPr>
        <w:pStyle w:val="7"/>
        <w:spacing w:line="360" w:lineRule="auto"/>
        <w:rPr>
          <w:rFonts w:hint="eastAsia" w:ascii="宋体" w:hAnsi="宋体" w:cs="宋体"/>
          <w:color w:val="000000"/>
        </w:rPr>
      </w:pPr>
    </w:p>
    <w:p>
      <w:pPr>
        <w:pStyle w:val="7"/>
        <w:spacing w:line="360" w:lineRule="auto"/>
        <w:rPr>
          <w:rFonts w:hint="eastAsia" w:ascii="宋体" w:hAnsi="宋体" w:cs="宋体"/>
          <w:color w:val="000000"/>
        </w:rPr>
      </w:pPr>
    </w:p>
    <w:p>
      <w:pPr>
        <w:pStyle w:val="7"/>
        <w:spacing w:line="360" w:lineRule="auto"/>
        <w:rPr>
          <w:rFonts w:hint="eastAsia" w:ascii="宋体" w:hAnsi="宋体" w:cs="宋体"/>
          <w:color w:val="000000"/>
        </w:rPr>
      </w:pPr>
    </w:p>
    <w:p>
      <w:pPr>
        <w:pStyle w:val="7"/>
        <w:spacing w:line="360" w:lineRule="auto"/>
        <w:rPr>
          <w:rFonts w:hint="eastAsia" w:ascii="宋体" w:hAnsi="宋体" w:cs="宋体"/>
          <w:color w:val="000000"/>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yriad Pro">
    <w:altName w:val="Arial"/>
    <w:panose1 w:val="00000000000000000000"/>
    <w:charset w:val="00"/>
    <w:family w:val="swiss"/>
    <w:pitch w:val="default"/>
    <w:sig w:usb0="00000000" w:usb1="00000000" w:usb2="00000000" w:usb3="00000000" w:csb0="0000009F"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pStyle w:val="3"/>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F22A53"/>
    <w:rsid w:val="30F22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pPr>
  </w:style>
  <w:style w:type="paragraph" w:styleId="3">
    <w:name w:val="Title"/>
    <w:basedOn w:val="1"/>
    <w:next w:val="1"/>
    <w:qFormat/>
    <w:uiPriority w:val="10"/>
    <w:pPr>
      <w:numPr>
        <w:ilvl w:val="1"/>
        <w:numId w:val="1"/>
      </w:numPr>
      <w:spacing w:before="240" w:after="60"/>
      <w:jc w:val="center"/>
      <w:outlineLvl w:val="0"/>
    </w:pPr>
    <w:rPr>
      <w:rFonts w:ascii="Cambria" w:hAnsi="Cambria"/>
      <w:b/>
      <w:bCs/>
      <w:kern w:val="0"/>
      <w:sz w:val="32"/>
      <w:szCs w:val="32"/>
    </w:rPr>
  </w:style>
  <w:style w:type="paragraph" w:customStyle="1" w:styleId="6">
    <w:name w:val="Other|1"/>
    <w:basedOn w:val="1"/>
    <w:uiPriority w:val="0"/>
    <w:rPr>
      <w:rFonts w:ascii="宋体" w:hAnsi="宋体" w:cs="宋体"/>
      <w:sz w:val="18"/>
      <w:szCs w:val="18"/>
      <w:lang w:val="zh-TW" w:eastAsia="zh-TW" w:bidi="zh-TW"/>
    </w:rPr>
  </w:style>
  <w:style w:type="paragraph" w:customStyle="1" w:styleId="7">
    <w:name w:val="Default"/>
    <w:qFormat/>
    <w:uiPriority w:val="0"/>
    <w:pPr>
      <w:widowControl w:val="0"/>
      <w:autoSpaceDE w:val="0"/>
      <w:autoSpaceDN w:val="0"/>
      <w:adjustRightInd w:val="0"/>
    </w:pPr>
    <w:rPr>
      <w:rFonts w:ascii="Myriad Pro" w:hAnsi="Myriad Pro" w:eastAsia="Myriad Pro" w:cs="Myriad Pro"/>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2020-08-25T08:15:00Z</dcterms:created>
  <dc:creator>陈娟</dc:creator>
  <cp:lastModifiedBy>陈娟</cp:lastModifiedBy>
  <dcterms:modified xsi:type="dcterms:W3CDTF">2020-08-25T08:16:40Z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