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spacing w:line="360" w:lineRule="auto"/>
        <w:jc w:val="center"/>
        <w:outlineLvl w:val="0"/>
        <w:rPr>
          <w:rFonts w:ascii="宋体"/>
          <w:b/>
          <w:color w:val="000000"/>
          <w:kern w:val="2"/>
          <w:sz w:val="36"/>
          <w:szCs w:val="24"/>
        </w:rPr>
      </w:pPr>
      <w:r>
        <w:rPr>
          <w:rFonts w:hint="eastAsia" w:ascii="宋体" w:hAnsi="宋体"/>
          <w:b/>
          <w:color w:val="000000"/>
          <w:kern w:val="2"/>
          <w:sz w:val="36"/>
          <w:szCs w:val="24"/>
        </w:rPr>
        <w:t>第六章：招标项目技术、服务、政府采购合同</w:t>
      </w:r>
    </w:p>
    <w:p>
      <w:pPr>
        <w:widowControl/>
        <w:adjustRightInd/>
        <w:spacing w:line="360" w:lineRule="auto"/>
        <w:ind w:left="3997" w:leftChars="829" w:hanging="1178" w:hangingChars="326"/>
        <w:outlineLvl w:val="1"/>
        <w:rPr>
          <w:color w:val="000000"/>
          <w:kern w:val="2"/>
          <w:sz w:val="20"/>
          <w:szCs w:val="24"/>
        </w:rPr>
      </w:pPr>
      <w:r>
        <w:rPr>
          <w:rFonts w:hint="eastAsia" w:ascii="宋体" w:hAnsi="宋体"/>
          <w:b/>
          <w:color w:val="000000"/>
          <w:kern w:val="2"/>
          <w:sz w:val="36"/>
          <w:szCs w:val="24"/>
        </w:rPr>
        <w:t>内容条款及其他商务要求</w:t>
      </w:r>
    </w:p>
    <w:p>
      <w:pPr>
        <w:spacing w:line="360" w:lineRule="auto"/>
        <w:ind w:firstLine="456" w:firstLineChars="200"/>
        <w:rPr>
          <w:rFonts w:ascii="宋体"/>
          <w:color w:val="000000"/>
          <w:spacing w:val="-6"/>
          <w:sz w:val="24"/>
          <w:szCs w:val="24"/>
        </w:rPr>
      </w:pPr>
      <w:r>
        <w:rPr>
          <w:rFonts w:hint="eastAsia" w:ascii="宋体" w:hAnsi="宋体"/>
          <w:color w:val="000000"/>
          <w:spacing w:val="-6"/>
          <w:sz w:val="24"/>
          <w:szCs w:val="24"/>
        </w:rPr>
        <w:t>本项目基本要求是指按采购人所提供的产品明细清单上所列出的全部要求，如果投标人能提供“技术参数、使用功能、安全性能、节能降耗减排、改善环境、使用寿命”等方面更优的产品的，允许优于基本要求的产品替代，但不得因此而要求采购人追加采购资金。</w:t>
      </w:r>
    </w:p>
    <w:p>
      <w:pPr>
        <w:spacing w:line="360" w:lineRule="auto"/>
        <w:ind w:firstLine="456" w:firstLineChars="200"/>
        <w:rPr>
          <w:rFonts w:hint="eastAsia" w:hAnsi="宋体" w:cs="宋体"/>
          <w:b/>
          <w:bCs/>
          <w:color w:val="000000"/>
          <w:szCs w:val="22"/>
        </w:rPr>
      </w:pPr>
      <w:r>
        <w:rPr>
          <w:rFonts w:hint="eastAsia" w:ascii="宋体" w:hAnsi="宋体"/>
          <w:color w:val="000000"/>
          <w:spacing w:val="-6"/>
          <w:sz w:val="24"/>
          <w:szCs w:val="24"/>
        </w:rPr>
        <w:t>注意：本章的要求不能作为资格性条件要求评审，如存在资格性条件要求，应当认定评审文件编制存在重大缺陷，评审小组应当停止评审。</w:t>
      </w:r>
    </w:p>
    <w:p>
      <w:pPr>
        <w:pStyle w:val="3"/>
        <w:shd w:val="clear" w:color="auto" w:fill="FFFFFF"/>
        <w:spacing w:before="150" w:after="150" w:line="360" w:lineRule="auto"/>
        <w:rPr>
          <w:rFonts w:hint="eastAsia" w:cs="Times New Roman"/>
          <w:b/>
          <w:bCs/>
          <w:color w:val="000000"/>
          <w:spacing w:val="-6"/>
        </w:rPr>
      </w:pPr>
      <w:r>
        <w:rPr>
          <w:rFonts w:cs="Times New Roman"/>
          <w:b/>
          <w:bCs/>
          <w:color w:val="000000"/>
          <w:spacing w:val="-6"/>
        </w:rPr>
        <w:t>一、报价要求：</w:t>
      </w:r>
    </w:p>
    <w:tbl>
      <w:tblPr>
        <w:tblStyle w:val="4"/>
        <w:tblW w:w="0" w:type="auto"/>
        <w:tblCellSpacing w:w="15" w:type="dxa"/>
        <w:tblInd w:w="0" w:type="dxa"/>
        <w:tblBorders>
          <w:top w:val="single" w:color="CCCCCC" w:sz="6" w:space="0"/>
          <w:left w:val="single" w:color="CCCCCC"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339"/>
        <w:gridCol w:w="576"/>
        <w:gridCol w:w="7631"/>
      </w:tblGrid>
      <w:tr>
        <w:tblPrEx>
          <w:tblBorders>
            <w:top w:val="single" w:color="CCCCCC" w:sz="6" w:space="0"/>
            <w:left w:val="single" w:color="CCCCCC"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blCellSpacing w:w="15" w:type="dxa"/>
        </w:trPr>
        <w:tc>
          <w:tcPr>
            <w:tcW w:w="0" w:type="auto"/>
            <w:tcBorders>
              <w:bottom w:val="single" w:color="CCCCCC" w:sz="6" w:space="0"/>
              <w:right w:val="single" w:color="CCCCCC" w:sz="6" w:space="0"/>
            </w:tcBorders>
            <w:shd w:val="clear" w:color="auto" w:fill="FFFFFF"/>
            <w:noWrap w:val="0"/>
            <w:tcMar>
              <w:top w:w="45" w:type="dxa"/>
              <w:left w:w="75" w:type="dxa"/>
              <w:bottom w:w="45" w:type="dxa"/>
              <w:right w:w="75" w:type="dxa"/>
            </w:tcMar>
            <w:vAlign w:val="center"/>
          </w:tcPr>
          <w:p>
            <w:pPr>
              <w:pStyle w:val="3"/>
              <w:spacing w:before="150" w:after="150" w:line="360" w:lineRule="auto"/>
              <w:rPr>
                <w:rFonts w:hint="eastAsia" w:cs="Times New Roman"/>
                <w:color w:val="000000"/>
                <w:spacing w:val="-6"/>
              </w:rPr>
            </w:pPr>
            <w:r>
              <w:rPr>
                <w:rFonts w:cs="Times New Roman"/>
                <w:color w:val="000000"/>
                <w:spacing w:val="-6"/>
              </w:rPr>
              <w:t>1</w:t>
            </w:r>
          </w:p>
        </w:tc>
        <w:tc>
          <w:tcPr>
            <w:tcW w:w="0" w:type="auto"/>
            <w:tcBorders>
              <w:bottom w:val="single" w:color="CCCCCC" w:sz="6" w:space="0"/>
              <w:right w:val="single" w:color="CCCCCC" w:sz="6" w:space="0"/>
            </w:tcBorders>
            <w:shd w:val="clear" w:color="auto" w:fill="FFFFFF"/>
            <w:noWrap w:val="0"/>
            <w:tcMar>
              <w:top w:w="45" w:type="dxa"/>
              <w:left w:w="75" w:type="dxa"/>
              <w:bottom w:w="45" w:type="dxa"/>
              <w:right w:w="75" w:type="dxa"/>
            </w:tcMar>
            <w:vAlign w:val="center"/>
          </w:tcPr>
          <w:p>
            <w:pPr>
              <w:pStyle w:val="3"/>
              <w:spacing w:before="150" w:after="150" w:line="360" w:lineRule="auto"/>
              <w:rPr>
                <w:rFonts w:hint="eastAsia" w:cs="Times New Roman"/>
                <w:color w:val="000000"/>
                <w:spacing w:val="-6"/>
              </w:rPr>
            </w:pPr>
            <w:r>
              <w:rPr>
                <w:rFonts w:cs="Times New Roman"/>
                <w:color w:val="000000"/>
                <w:spacing w:val="-6"/>
              </w:rPr>
              <w:t>报价说明</w:t>
            </w:r>
          </w:p>
        </w:tc>
        <w:tc>
          <w:tcPr>
            <w:tcW w:w="0" w:type="auto"/>
            <w:tcBorders>
              <w:bottom w:val="single" w:color="CCCCCC" w:sz="6" w:space="0"/>
              <w:right w:val="single" w:color="CCCCCC" w:sz="6" w:space="0"/>
            </w:tcBorders>
            <w:shd w:val="clear" w:color="auto" w:fill="FFFFFF"/>
            <w:noWrap w:val="0"/>
            <w:tcMar>
              <w:top w:w="45" w:type="dxa"/>
              <w:left w:w="75" w:type="dxa"/>
              <w:bottom w:w="45" w:type="dxa"/>
              <w:right w:w="75" w:type="dxa"/>
            </w:tcMar>
            <w:vAlign w:val="center"/>
          </w:tcPr>
          <w:p>
            <w:pPr>
              <w:pStyle w:val="3"/>
              <w:spacing w:before="150" w:after="150" w:line="360" w:lineRule="auto"/>
              <w:rPr>
                <w:rFonts w:hint="eastAsia" w:cs="Times New Roman"/>
                <w:color w:val="000000"/>
                <w:spacing w:val="-6"/>
              </w:rPr>
            </w:pPr>
            <w:r>
              <w:rPr>
                <w:rFonts w:cs="Times New Roman"/>
                <w:color w:val="000000"/>
                <w:spacing w:val="-6"/>
              </w:rPr>
              <w:t>1.以下各包计费标准含所有费用；</w:t>
            </w:r>
          </w:p>
          <w:p>
            <w:pPr>
              <w:pStyle w:val="3"/>
              <w:spacing w:before="150" w:after="150" w:line="360" w:lineRule="auto"/>
              <w:rPr>
                <w:rFonts w:hint="eastAsia" w:cs="Times New Roman"/>
                <w:color w:val="000000"/>
                <w:spacing w:val="-6"/>
              </w:rPr>
            </w:pPr>
            <w:r>
              <w:rPr>
                <w:rFonts w:cs="Times New Roman"/>
                <w:color w:val="000000"/>
                <w:spacing w:val="-6"/>
              </w:rPr>
              <w:t>2.投标折扣率必须为固定报价（如 65</w:t>
            </w:r>
            <w:r>
              <w:rPr>
                <w:rFonts w:hint="eastAsia" w:cs="Times New Roman"/>
                <w:color w:val="000000"/>
                <w:spacing w:val="-6"/>
              </w:rPr>
              <w:t>%</w:t>
            </w:r>
            <w:r>
              <w:rPr>
                <w:rFonts w:cs="Times New Roman"/>
                <w:color w:val="000000"/>
                <w:spacing w:val="-6"/>
              </w:rPr>
              <w:t>），不得存在区间值（如 60</w:t>
            </w:r>
            <w:r>
              <w:rPr>
                <w:rFonts w:hint="eastAsia" w:cs="Times New Roman"/>
                <w:color w:val="000000"/>
                <w:spacing w:val="-6"/>
              </w:rPr>
              <w:t>%</w:t>
            </w:r>
            <w:r>
              <w:rPr>
                <w:rFonts w:cs="Times New Roman"/>
                <w:color w:val="000000"/>
                <w:spacing w:val="-6"/>
              </w:rPr>
              <w:t>-65</w:t>
            </w:r>
            <w:r>
              <w:rPr>
                <w:rFonts w:hint="eastAsia" w:cs="Times New Roman"/>
                <w:color w:val="000000"/>
                <w:spacing w:val="-6"/>
              </w:rPr>
              <w:t>%</w:t>
            </w:r>
            <w:r>
              <w:rPr>
                <w:rFonts w:cs="Times New Roman"/>
                <w:color w:val="000000"/>
                <w:spacing w:val="-6"/>
              </w:rPr>
              <w:t>）；</w:t>
            </w:r>
          </w:p>
          <w:p>
            <w:pPr>
              <w:pStyle w:val="3"/>
              <w:spacing w:before="150" w:after="150" w:line="360" w:lineRule="auto"/>
              <w:rPr>
                <w:rFonts w:hint="eastAsia" w:cs="Times New Roman"/>
                <w:color w:val="000000"/>
                <w:spacing w:val="-6"/>
              </w:rPr>
            </w:pPr>
            <w:r>
              <w:rPr>
                <w:rFonts w:cs="Times New Roman"/>
                <w:color w:val="000000"/>
                <w:spacing w:val="-6"/>
              </w:rPr>
              <w:t>3.报价所有计费均含所有税费；</w:t>
            </w:r>
          </w:p>
          <w:p>
            <w:pPr>
              <w:pStyle w:val="3"/>
              <w:spacing w:before="150" w:after="150" w:line="360" w:lineRule="auto"/>
              <w:rPr>
                <w:rFonts w:hint="eastAsia" w:cs="Times New Roman"/>
                <w:color w:val="000000"/>
                <w:spacing w:val="-6"/>
              </w:rPr>
            </w:pPr>
            <w:r>
              <w:rPr>
                <w:rFonts w:cs="Times New Roman"/>
                <w:color w:val="000000"/>
                <w:spacing w:val="-6"/>
              </w:rPr>
              <w:t>4.以下各包只有一个报价下浮比例；</w:t>
            </w:r>
          </w:p>
          <w:p>
            <w:pPr>
              <w:pStyle w:val="3"/>
              <w:spacing w:before="150" w:after="150" w:line="360" w:lineRule="auto"/>
              <w:rPr>
                <w:rFonts w:hint="eastAsia" w:cs="Times New Roman"/>
                <w:color w:val="000000"/>
                <w:spacing w:val="-6"/>
              </w:rPr>
            </w:pPr>
            <w:r>
              <w:rPr>
                <w:rFonts w:cs="Times New Roman"/>
                <w:color w:val="000000"/>
                <w:spacing w:val="-6"/>
              </w:rPr>
              <w:t>5.以下限价为最高限价。</w:t>
            </w:r>
          </w:p>
        </w:tc>
      </w:tr>
      <w:tr>
        <w:tblPrEx>
          <w:tblBorders>
            <w:top w:val="single" w:color="CCCCCC" w:sz="6" w:space="0"/>
            <w:left w:val="single" w:color="CCCCCC"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15" w:type="dxa"/>
        </w:trPr>
        <w:tc>
          <w:tcPr>
            <w:tcW w:w="0" w:type="auto"/>
            <w:tcBorders>
              <w:bottom w:val="single" w:color="CCCCCC" w:sz="6" w:space="0"/>
              <w:right w:val="single" w:color="CCCCCC" w:sz="6" w:space="0"/>
            </w:tcBorders>
            <w:shd w:val="clear" w:color="auto" w:fill="FFFFFF"/>
            <w:noWrap w:val="0"/>
            <w:tcMar>
              <w:top w:w="45" w:type="dxa"/>
              <w:left w:w="75" w:type="dxa"/>
              <w:bottom w:w="45" w:type="dxa"/>
              <w:right w:w="75" w:type="dxa"/>
            </w:tcMar>
            <w:vAlign w:val="center"/>
          </w:tcPr>
          <w:p>
            <w:pPr>
              <w:pStyle w:val="3"/>
              <w:spacing w:before="150" w:after="150" w:line="360" w:lineRule="auto"/>
              <w:rPr>
                <w:rFonts w:hint="eastAsia" w:cs="Times New Roman"/>
                <w:color w:val="000000"/>
                <w:spacing w:val="-6"/>
              </w:rPr>
            </w:pPr>
            <w:r>
              <w:rPr>
                <w:rFonts w:cs="Times New Roman"/>
                <w:color w:val="000000"/>
                <w:spacing w:val="-6"/>
              </w:rPr>
              <w:t>2</w:t>
            </w:r>
          </w:p>
        </w:tc>
        <w:tc>
          <w:tcPr>
            <w:tcW w:w="0" w:type="auto"/>
            <w:tcBorders>
              <w:bottom w:val="single" w:color="CCCCCC" w:sz="6" w:space="0"/>
              <w:right w:val="single" w:color="CCCCCC" w:sz="6" w:space="0"/>
            </w:tcBorders>
            <w:shd w:val="clear" w:color="auto" w:fill="FFFFFF"/>
            <w:noWrap w:val="0"/>
            <w:tcMar>
              <w:top w:w="45" w:type="dxa"/>
              <w:left w:w="75" w:type="dxa"/>
              <w:bottom w:w="45" w:type="dxa"/>
              <w:right w:w="75" w:type="dxa"/>
            </w:tcMar>
            <w:vAlign w:val="center"/>
          </w:tcPr>
          <w:p>
            <w:pPr>
              <w:pStyle w:val="3"/>
              <w:spacing w:before="150" w:after="150" w:line="360" w:lineRule="auto"/>
              <w:rPr>
                <w:rFonts w:hint="eastAsia" w:cs="Times New Roman"/>
                <w:color w:val="000000"/>
                <w:spacing w:val="-6"/>
              </w:rPr>
            </w:pPr>
            <w:r>
              <w:rPr>
                <w:rFonts w:cs="Times New Roman"/>
                <w:color w:val="000000"/>
                <w:spacing w:val="-6"/>
              </w:rPr>
              <w:t>采购限价</w:t>
            </w:r>
          </w:p>
        </w:tc>
        <w:tc>
          <w:tcPr>
            <w:tcW w:w="0" w:type="auto"/>
            <w:tcBorders>
              <w:bottom w:val="single" w:color="CCCCCC" w:sz="6" w:space="0"/>
              <w:right w:val="single" w:color="CCCCCC" w:sz="6" w:space="0"/>
            </w:tcBorders>
            <w:shd w:val="clear" w:color="auto" w:fill="FFFFFF"/>
            <w:noWrap w:val="0"/>
            <w:tcMar>
              <w:top w:w="45" w:type="dxa"/>
              <w:left w:w="75" w:type="dxa"/>
              <w:bottom w:w="45" w:type="dxa"/>
              <w:right w:w="75" w:type="dxa"/>
            </w:tcMar>
            <w:vAlign w:val="center"/>
          </w:tcPr>
          <w:p>
            <w:pPr>
              <w:pStyle w:val="3"/>
              <w:spacing w:before="150" w:after="150" w:line="360" w:lineRule="auto"/>
              <w:rPr>
                <w:rFonts w:hint="eastAsia" w:cs="Times New Roman"/>
                <w:color w:val="000000"/>
                <w:spacing w:val="-6"/>
              </w:rPr>
            </w:pPr>
            <w:r>
              <w:rPr>
                <w:rFonts w:cs="Times New Roman"/>
                <w:color w:val="000000"/>
                <w:spacing w:val="-6"/>
              </w:rPr>
              <w:t>第 1 包：工程投资评审服务</w:t>
            </w:r>
          </w:p>
          <w:p>
            <w:pPr>
              <w:pStyle w:val="3"/>
              <w:spacing w:before="150" w:after="150" w:line="360" w:lineRule="auto"/>
              <w:rPr>
                <w:rFonts w:hint="eastAsia" w:cs="Times New Roman"/>
                <w:color w:val="000000"/>
                <w:spacing w:val="-6"/>
              </w:rPr>
            </w:pPr>
            <w:r>
              <w:rPr>
                <w:rFonts w:cs="Times New Roman"/>
                <w:color w:val="000000"/>
                <w:spacing w:val="-6"/>
              </w:rPr>
              <w:t>一、估算：</w:t>
            </w:r>
          </w:p>
          <w:p>
            <w:pPr>
              <w:pStyle w:val="3"/>
              <w:spacing w:before="150" w:after="150" w:line="360" w:lineRule="auto"/>
              <w:rPr>
                <w:rFonts w:hint="eastAsia" w:cs="Times New Roman"/>
                <w:color w:val="000000"/>
                <w:spacing w:val="-6"/>
              </w:rPr>
            </w:pPr>
            <w:r>
              <w:rPr>
                <w:rFonts w:cs="Times New Roman"/>
                <w:color w:val="000000"/>
                <w:spacing w:val="-6"/>
              </w:rPr>
              <w:t>1.计费标准：房屋建筑和市政基础设施工程参照原《工程造价咨询收费标准》 （川价发[2008]141 号）中“投资估算”计算（以下简称“房建标准”）；土地整理类工程按房建标准的60</w:t>
            </w:r>
            <w:r>
              <w:rPr>
                <w:rFonts w:hint="eastAsia" w:cs="Times New Roman"/>
                <w:color w:val="000000"/>
                <w:spacing w:val="-6"/>
              </w:rPr>
              <w:t>%</w:t>
            </w:r>
            <w:r>
              <w:rPr>
                <w:rFonts w:cs="Times New Roman"/>
                <w:color w:val="000000"/>
                <w:spacing w:val="-6"/>
              </w:rPr>
              <w:t>计算；公路、铁路、水、坝等土木工程及地质灾害类工程按房建标准的 50</w:t>
            </w:r>
            <w:r>
              <w:rPr>
                <w:rFonts w:hint="eastAsia" w:cs="Times New Roman"/>
                <w:color w:val="000000"/>
                <w:spacing w:val="-6"/>
              </w:rPr>
              <w:t>%</w:t>
            </w:r>
            <w:r>
              <w:rPr>
                <w:rFonts w:cs="Times New Roman"/>
                <w:color w:val="000000"/>
                <w:spacing w:val="-6"/>
              </w:rPr>
              <w:t>计算。</w:t>
            </w:r>
          </w:p>
          <w:p>
            <w:pPr>
              <w:pStyle w:val="3"/>
              <w:spacing w:before="150" w:after="150" w:line="360" w:lineRule="auto"/>
              <w:rPr>
                <w:rFonts w:hint="eastAsia" w:cs="Times New Roman"/>
                <w:color w:val="000000"/>
                <w:spacing w:val="-6"/>
              </w:rPr>
            </w:pPr>
            <w:r>
              <w:rPr>
                <w:rFonts w:cs="Times New Roman"/>
                <w:color w:val="000000"/>
                <w:spacing w:val="-6"/>
              </w:rPr>
              <w:t>2.采购人限价：上述计费标准的 80</w:t>
            </w:r>
            <w:r>
              <w:rPr>
                <w:rFonts w:hint="eastAsia" w:cs="Times New Roman"/>
                <w:color w:val="000000"/>
                <w:spacing w:val="-6"/>
              </w:rPr>
              <w:t>%</w:t>
            </w:r>
            <w:r>
              <w:rPr>
                <w:rFonts w:cs="Times New Roman"/>
                <w:color w:val="000000"/>
                <w:spacing w:val="-6"/>
              </w:rPr>
              <w:t>，凡单项收费金额低于人民币3000元，按3000元收取。</w:t>
            </w:r>
          </w:p>
          <w:p>
            <w:pPr>
              <w:pStyle w:val="3"/>
              <w:spacing w:before="150" w:after="150" w:line="360" w:lineRule="auto"/>
              <w:rPr>
                <w:rFonts w:hint="eastAsia" w:cs="Times New Roman"/>
                <w:color w:val="000000"/>
                <w:spacing w:val="-6"/>
              </w:rPr>
            </w:pPr>
            <w:r>
              <w:rPr>
                <w:rFonts w:cs="Times New Roman"/>
                <w:color w:val="000000"/>
                <w:spacing w:val="-6"/>
              </w:rPr>
              <w:t>二、概算：</w:t>
            </w:r>
          </w:p>
          <w:p>
            <w:pPr>
              <w:pStyle w:val="3"/>
              <w:spacing w:before="150" w:after="150" w:line="360" w:lineRule="auto"/>
              <w:rPr>
                <w:rFonts w:hint="eastAsia" w:cs="Times New Roman"/>
                <w:color w:val="000000"/>
                <w:spacing w:val="-6"/>
              </w:rPr>
            </w:pPr>
            <w:r>
              <w:rPr>
                <w:rFonts w:cs="Times New Roman"/>
                <w:color w:val="000000"/>
                <w:spacing w:val="-6"/>
              </w:rPr>
              <w:t>1.计费标准：房屋建筑和市政基础设施工程参照原《工程造价咨询收费标准》 （川价发[2008]141号）中“审核工程设计概算”计算（以下简称“房建标准”）；土地整理类工程按房建标准的60</w:t>
            </w:r>
            <w:r>
              <w:rPr>
                <w:rFonts w:hint="eastAsia" w:cs="Times New Roman"/>
                <w:color w:val="000000"/>
                <w:spacing w:val="-6"/>
              </w:rPr>
              <w:t>%</w:t>
            </w:r>
            <w:r>
              <w:rPr>
                <w:rFonts w:cs="Times New Roman"/>
                <w:color w:val="000000"/>
                <w:spacing w:val="-6"/>
              </w:rPr>
              <w:t>计算；公路、铁路、水、坝等土木工程及地质灾害类工程按房建标准的 50</w:t>
            </w:r>
            <w:r>
              <w:rPr>
                <w:rFonts w:hint="eastAsia" w:cs="Times New Roman"/>
                <w:color w:val="000000"/>
                <w:spacing w:val="-6"/>
              </w:rPr>
              <w:t>%</w:t>
            </w:r>
            <w:r>
              <w:rPr>
                <w:rFonts w:cs="Times New Roman"/>
                <w:color w:val="000000"/>
                <w:spacing w:val="-6"/>
              </w:rPr>
              <w:t>计算。</w:t>
            </w:r>
          </w:p>
          <w:p>
            <w:pPr>
              <w:pStyle w:val="3"/>
              <w:spacing w:before="150" w:after="150" w:line="360" w:lineRule="auto"/>
              <w:rPr>
                <w:rFonts w:hint="eastAsia" w:cs="Times New Roman"/>
                <w:color w:val="000000"/>
                <w:spacing w:val="-6"/>
              </w:rPr>
            </w:pPr>
            <w:r>
              <w:rPr>
                <w:rFonts w:cs="Times New Roman"/>
                <w:color w:val="000000"/>
                <w:spacing w:val="-6"/>
              </w:rPr>
              <w:t>2.采购人限价：上述计费标准的 80</w:t>
            </w:r>
            <w:r>
              <w:rPr>
                <w:rFonts w:hint="eastAsia" w:cs="Times New Roman"/>
                <w:color w:val="000000"/>
                <w:spacing w:val="-6"/>
              </w:rPr>
              <w:t>%</w:t>
            </w:r>
            <w:r>
              <w:rPr>
                <w:rFonts w:cs="Times New Roman"/>
                <w:color w:val="000000"/>
                <w:spacing w:val="-6"/>
              </w:rPr>
              <w:t>，凡单项收费金额低于人民币3000元，按3000元收取。</w:t>
            </w:r>
          </w:p>
          <w:p>
            <w:pPr>
              <w:pStyle w:val="3"/>
              <w:spacing w:before="150" w:after="150" w:line="360" w:lineRule="auto"/>
              <w:rPr>
                <w:rFonts w:hint="eastAsia" w:cs="Times New Roman"/>
                <w:color w:val="000000"/>
                <w:spacing w:val="-6"/>
              </w:rPr>
            </w:pPr>
            <w:r>
              <w:rPr>
                <w:rFonts w:cs="Times New Roman"/>
                <w:color w:val="000000"/>
                <w:spacing w:val="-6"/>
              </w:rPr>
              <w:t>三、预算（含招标控制价）</w:t>
            </w:r>
          </w:p>
          <w:p>
            <w:pPr>
              <w:pStyle w:val="3"/>
              <w:spacing w:before="150" w:after="150" w:line="360" w:lineRule="auto"/>
              <w:rPr>
                <w:rFonts w:hint="eastAsia" w:cs="Times New Roman"/>
                <w:color w:val="000000"/>
                <w:spacing w:val="-6"/>
              </w:rPr>
            </w:pPr>
            <w:r>
              <w:rPr>
                <w:rFonts w:cs="Times New Roman"/>
                <w:color w:val="000000"/>
                <w:spacing w:val="-6"/>
              </w:rPr>
              <w:t>1.计费标准：房屋建筑和市政基础设施工程参照原《工程造价咨询收费标准》 （川价发[2008]141 号）中“审核工程预算（招标控制价或标底）”计算（以下简称“房建标准”）；土地整理类工程按房建标准的60</w:t>
            </w:r>
            <w:r>
              <w:rPr>
                <w:rFonts w:hint="eastAsia" w:cs="Times New Roman"/>
                <w:color w:val="000000"/>
                <w:spacing w:val="-6"/>
              </w:rPr>
              <w:t>%</w:t>
            </w:r>
            <w:r>
              <w:rPr>
                <w:rFonts w:cs="Times New Roman"/>
                <w:color w:val="000000"/>
                <w:spacing w:val="-6"/>
              </w:rPr>
              <w:t>计算；公路、铁路、水、坝等土木工程及地质灾害类工程按房建标准的 50</w:t>
            </w:r>
            <w:r>
              <w:rPr>
                <w:rFonts w:hint="eastAsia" w:cs="Times New Roman"/>
                <w:color w:val="000000"/>
                <w:spacing w:val="-6"/>
              </w:rPr>
              <w:t>%</w:t>
            </w:r>
            <w:r>
              <w:rPr>
                <w:rFonts w:cs="Times New Roman"/>
                <w:color w:val="000000"/>
                <w:spacing w:val="-6"/>
              </w:rPr>
              <w:t>计算。</w:t>
            </w:r>
          </w:p>
          <w:p>
            <w:pPr>
              <w:pStyle w:val="3"/>
              <w:spacing w:before="150" w:after="150" w:line="360" w:lineRule="auto"/>
              <w:rPr>
                <w:rFonts w:hint="eastAsia" w:cs="Times New Roman"/>
                <w:color w:val="000000"/>
                <w:spacing w:val="-6"/>
              </w:rPr>
            </w:pPr>
            <w:r>
              <w:rPr>
                <w:rFonts w:cs="Times New Roman"/>
                <w:color w:val="000000"/>
                <w:spacing w:val="-6"/>
              </w:rPr>
              <w:t>2、采购人限价：上述计费标准的 80</w:t>
            </w:r>
            <w:r>
              <w:rPr>
                <w:rFonts w:hint="eastAsia" w:cs="Times New Roman"/>
                <w:color w:val="000000"/>
                <w:spacing w:val="-6"/>
              </w:rPr>
              <w:t>%</w:t>
            </w:r>
            <w:r>
              <w:rPr>
                <w:rFonts w:cs="Times New Roman"/>
                <w:color w:val="000000"/>
                <w:spacing w:val="-6"/>
              </w:rPr>
              <w:t>，凡单项收费金额低于人民币3000元，按3000元收取。</w:t>
            </w:r>
          </w:p>
          <w:p>
            <w:pPr>
              <w:pStyle w:val="3"/>
              <w:spacing w:before="150" w:after="150" w:line="360" w:lineRule="auto"/>
              <w:rPr>
                <w:rFonts w:hint="eastAsia" w:cs="Times New Roman"/>
                <w:color w:val="000000"/>
                <w:spacing w:val="-6"/>
              </w:rPr>
            </w:pPr>
            <w:r>
              <w:rPr>
                <w:rFonts w:cs="Times New Roman"/>
                <w:color w:val="000000"/>
                <w:spacing w:val="-6"/>
              </w:rPr>
              <w:t>四、结算（含核算）</w:t>
            </w:r>
          </w:p>
          <w:p>
            <w:pPr>
              <w:pStyle w:val="3"/>
              <w:spacing w:before="150" w:after="150" w:line="360" w:lineRule="auto"/>
              <w:rPr>
                <w:rFonts w:hint="eastAsia" w:cs="Times New Roman"/>
                <w:color w:val="000000"/>
                <w:spacing w:val="-6"/>
              </w:rPr>
            </w:pPr>
            <w:r>
              <w:rPr>
                <w:rFonts w:cs="Times New Roman"/>
                <w:color w:val="000000"/>
                <w:spacing w:val="-6"/>
              </w:rPr>
              <w:t>1.计费标准：</w:t>
            </w:r>
          </w:p>
          <w:p>
            <w:pPr>
              <w:pStyle w:val="3"/>
              <w:spacing w:before="150" w:after="150" w:line="360" w:lineRule="auto"/>
              <w:rPr>
                <w:rFonts w:hint="eastAsia" w:cs="Times New Roman"/>
                <w:color w:val="000000"/>
                <w:spacing w:val="-6"/>
              </w:rPr>
            </w:pPr>
            <w:r>
              <w:rPr>
                <w:rFonts w:cs="Times New Roman"/>
                <w:color w:val="000000"/>
                <w:spacing w:val="-6"/>
              </w:rPr>
              <w:t>（1）基本评审费：房屋建筑和市政基础设施工程参照原《工程造价咨询收费标准》 （川价发[2008]141 号）中“审核竣工结算”计算（以下简称“房建标准”）；地质灾害、土地整理和公路、铁路、水、坝等土木工程按房建标准的 50</w:t>
            </w:r>
            <w:r>
              <w:rPr>
                <w:rFonts w:hint="eastAsia" w:cs="Times New Roman"/>
                <w:color w:val="000000"/>
                <w:spacing w:val="-6"/>
              </w:rPr>
              <w:t>%</w:t>
            </w:r>
            <w:r>
              <w:rPr>
                <w:rFonts w:cs="Times New Roman"/>
                <w:color w:val="000000"/>
                <w:spacing w:val="-6"/>
              </w:rPr>
              <w:t>计算。</w:t>
            </w:r>
          </w:p>
          <w:p>
            <w:pPr>
              <w:pStyle w:val="3"/>
              <w:spacing w:before="150" w:after="150" w:line="360" w:lineRule="auto"/>
              <w:rPr>
                <w:rFonts w:hint="eastAsia" w:cs="Times New Roman"/>
                <w:color w:val="000000"/>
                <w:spacing w:val="-6"/>
              </w:rPr>
            </w:pPr>
            <w:r>
              <w:rPr>
                <w:rFonts w:cs="Times New Roman"/>
                <w:color w:val="000000"/>
                <w:spacing w:val="-6"/>
              </w:rPr>
              <w:t>（2）效益评审费：计费基数为审减金额。</w:t>
            </w:r>
          </w:p>
          <w:p>
            <w:pPr>
              <w:pStyle w:val="3"/>
              <w:spacing w:before="150" w:after="150" w:line="360" w:lineRule="auto"/>
              <w:rPr>
                <w:rFonts w:hint="eastAsia" w:cs="Times New Roman"/>
                <w:color w:val="000000"/>
                <w:spacing w:val="-6"/>
              </w:rPr>
            </w:pPr>
            <w:r>
              <w:rPr>
                <w:rFonts w:cs="Times New Roman"/>
                <w:color w:val="000000"/>
                <w:spacing w:val="-6"/>
              </w:rPr>
              <w:t>a、结算审核：房屋建筑和市政基础设施工程按计费基数的 3</w:t>
            </w:r>
            <w:r>
              <w:rPr>
                <w:rFonts w:hint="eastAsia" w:cs="Times New Roman"/>
                <w:color w:val="000000"/>
                <w:spacing w:val="-6"/>
              </w:rPr>
              <w:t>%</w:t>
            </w:r>
            <w:r>
              <w:rPr>
                <w:rFonts w:cs="Times New Roman"/>
                <w:color w:val="000000"/>
                <w:spacing w:val="-6"/>
              </w:rPr>
              <w:t>计算；地质灾害、土地整理和公路、铁路、水、坝等土木工程按计费基数的 1.5</w:t>
            </w:r>
            <w:r>
              <w:rPr>
                <w:rFonts w:hint="eastAsia" w:cs="Times New Roman"/>
                <w:color w:val="000000"/>
                <w:spacing w:val="-6"/>
              </w:rPr>
              <w:t>%</w:t>
            </w:r>
            <w:r>
              <w:rPr>
                <w:rFonts w:cs="Times New Roman"/>
                <w:color w:val="000000"/>
                <w:spacing w:val="-6"/>
              </w:rPr>
              <w:t>计算。</w:t>
            </w:r>
          </w:p>
          <w:p>
            <w:pPr>
              <w:pStyle w:val="3"/>
              <w:spacing w:before="150" w:after="150" w:line="360" w:lineRule="auto"/>
              <w:rPr>
                <w:rFonts w:hint="eastAsia" w:cs="Times New Roman"/>
                <w:color w:val="000000"/>
                <w:spacing w:val="-6"/>
              </w:rPr>
            </w:pPr>
            <w:r>
              <w:rPr>
                <w:rFonts w:cs="Times New Roman"/>
                <w:color w:val="000000"/>
                <w:spacing w:val="-6"/>
              </w:rPr>
              <w:t>b、结算复核：房屋建筑和市政基础设施工程按计费基数的 5</w:t>
            </w:r>
            <w:r>
              <w:rPr>
                <w:rFonts w:hint="eastAsia" w:cs="Times New Roman"/>
                <w:color w:val="000000"/>
                <w:spacing w:val="-6"/>
              </w:rPr>
              <w:t>%</w:t>
            </w:r>
            <w:r>
              <w:rPr>
                <w:rFonts w:cs="Times New Roman"/>
                <w:color w:val="000000"/>
                <w:spacing w:val="-6"/>
              </w:rPr>
              <w:t>计算；地质灾害、土地整理和公路、铁路、水、坝等土木工程按计费基数的 2.5</w:t>
            </w:r>
            <w:r>
              <w:rPr>
                <w:rFonts w:hint="eastAsia" w:cs="Times New Roman"/>
                <w:color w:val="000000"/>
                <w:spacing w:val="-6"/>
              </w:rPr>
              <w:t>%</w:t>
            </w:r>
            <w:r>
              <w:rPr>
                <w:rFonts w:cs="Times New Roman"/>
                <w:color w:val="000000"/>
                <w:spacing w:val="-6"/>
              </w:rPr>
              <w:t>计算。</w:t>
            </w:r>
          </w:p>
          <w:p>
            <w:pPr>
              <w:pStyle w:val="3"/>
              <w:spacing w:before="150" w:after="150" w:line="360" w:lineRule="auto"/>
              <w:rPr>
                <w:rFonts w:hint="eastAsia" w:cs="Times New Roman"/>
                <w:color w:val="000000"/>
                <w:spacing w:val="-6"/>
              </w:rPr>
            </w:pPr>
            <w:r>
              <w:rPr>
                <w:rFonts w:cs="Times New Roman"/>
                <w:color w:val="000000"/>
                <w:spacing w:val="-6"/>
              </w:rPr>
              <w:t>2.采购人限价：</w:t>
            </w:r>
          </w:p>
          <w:p>
            <w:pPr>
              <w:pStyle w:val="3"/>
              <w:spacing w:before="150" w:after="150" w:line="360" w:lineRule="auto"/>
              <w:rPr>
                <w:rFonts w:hint="eastAsia" w:cs="Times New Roman"/>
                <w:color w:val="000000"/>
                <w:spacing w:val="-6"/>
              </w:rPr>
            </w:pPr>
            <w:r>
              <w:rPr>
                <w:rFonts w:cs="Times New Roman"/>
                <w:color w:val="000000"/>
                <w:spacing w:val="-6"/>
              </w:rPr>
              <w:t>（1）基本评审费：结算审核为上述计费标准中基本评审费的80</w:t>
            </w:r>
            <w:r>
              <w:rPr>
                <w:rFonts w:hint="eastAsia" w:cs="Times New Roman"/>
                <w:color w:val="000000"/>
                <w:spacing w:val="-6"/>
              </w:rPr>
              <w:t>%</w:t>
            </w:r>
            <w:r>
              <w:rPr>
                <w:rFonts w:cs="Times New Roman"/>
                <w:color w:val="000000"/>
                <w:spacing w:val="-6"/>
              </w:rPr>
              <w:t>，结算复核为上述计费标准中基本评审费的30</w:t>
            </w:r>
            <w:r>
              <w:rPr>
                <w:rFonts w:hint="eastAsia" w:cs="Times New Roman"/>
                <w:color w:val="000000"/>
                <w:spacing w:val="-6"/>
              </w:rPr>
              <w:t>%</w:t>
            </w:r>
            <w:r>
              <w:rPr>
                <w:rFonts w:cs="Times New Roman"/>
                <w:color w:val="000000"/>
                <w:spacing w:val="-6"/>
              </w:rPr>
              <w:t>。</w:t>
            </w:r>
          </w:p>
          <w:p>
            <w:pPr>
              <w:pStyle w:val="3"/>
              <w:spacing w:before="150" w:after="150" w:line="360" w:lineRule="auto"/>
              <w:rPr>
                <w:rFonts w:hint="eastAsia" w:cs="Times New Roman"/>
                <w:color w:val="000000"/>
                <w:spacing w:val="-6"/>
              </w:rPr>
            </w:pPr>
            <w:r>
              <w:rPr>
                <w:rFonts w:cs="Times New Roman"/>
                <w:color w:val="000000"/>
                <w:spacing w:val="-6"/>
              </w:rPr>
              <w:t>（2）效益评审费： 上述计费标准中的效益评审费。</w:t>
            </w:r>
          </w:p>
          <w:p>
            <w:pPr>
              <w:pStyle w:val="3"/>
              <w:spacing w:before="150" w:after="150" w:line="360" w:lineRule="auto"/>
              <w:rPr>
                <w:rFonts w:hint="eastAsia" w:cs="Times New Roman"/>
                <w:color w:val="000000"/>
                <w:spacing w:val="-6"/>
              </w:rPr>
            </w:pPr>
            <w:r>
              <w:rPr>
                <w:rFonts w:cs="Times New Roman"/>
                <w:color w:val="000000"/>
                <w:spacing w:val="-6"/>
              </w:rPr>
              <w:t>（3）单项收费金额低于人民币3000元，按3000元收取。</w:t>
            </w:r>
          </w:p>
        </w:tc>
      </w:tr>
      <w:tr>
        <w:tblPrEx>
          <w:tblBorders>
            <w:top w:val="single" w:color="CCCCCC" w:sz="6" w:space="0"/>
            <w:left w:val="single" w:color="CCCCCC"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987" w:hRule="atLeast"/>
          <w:tblCellSpacing w:w="15" w:type="dxa"/>
        </w:trPr>
        <w:tc>
          <w:tcPr>
            <w:tcW w:w="0" w:type="auto"/>
            <w:tcBorders>
              <w:bottom w:val="single" w:color="CCCCCC" w:sz="6" w:space="0"/>
              <w:right w:val="single" w:color="CCCCCC" w:sz="6" w:space="0"/>
            </w:tcBorders>
            <w:shd w:val="clear" w:color="auto" w:fill="FFFFFF"/>
            <w:noWrap w:val="0"/>
            <w:tcMar>
              <w:top w:w="45" w:type="dxa"/>
              <w:left w:w="75" w:type="dxa"/>
              <w:bottom w:w="45" w:type="dxa"/>
              <w:right w:w="75" w:type="dxa"/>
            </w:tcMar>
            <w:vAlign w:val="center"/>
          </w:tcPr>
          <w:p>
            <w:pPr>
              <w:spacing w:line="360" w:lineRule="auto"/>
              <w:rPr>
                <w:rFonts w:ascii="宋体" w:hAnsi="宋体"/>
                <w:color w:val="000000"/>
                <w:spacing w:val="-6"/>
                <w:sz w:val="24"/>
                <w:szCs w:val="24"/>
              </w:rPr>
            </w:pPr>
          </w:p>
        </w:tc>
        <w:tc>
          <w:tcPr>
            <w:tcW w:w="0" w:type="auto"/>
            <w:tcBorders>
              <w:bottom w:val="single" w:color="CCCCCC" w:sz="6" w:space="0"/>
              <w:right w:val="single" w:color="CCCCCC" w:sz="6" w:space="0"/>
            </w:tcBorders>
            <w:shd w:val="clear" w:color="auto" w:fill="FFFFFF"/>
            <w:noWrap w:val="0"/>
            <w:tcMar>
              <w:top w:w="45" w:type="dxa"/>
              <w:left w:w="75" w:type="dxa"/>
              <w:bottom w:w="45" w:type="dxa"/>
              <w:right w:w="75" w:type="dxa"/>
            </w:tcMar>
            <w:vAlign w:val="center"/>
          </w:tcPr>
          <w:p>
            <w:pPr>
              <w:spacing w:line="360" w:lineRule="auto"/>
              <w:rPr>
                <w:rFonts w:ascii="宋体" w:hAnsi="宋体"/>
                <w:color w:val="000000"/>
                <w:spacing w:val="-6"/>
                <w:sz w:val="24"/>
                <w:szCs w:val="24"/>
              </w:rPr>
            </w:pPr>
          </w:p>
        </w:tc>
        <w:tc>
          <w:tcPr>
            <w:tcW w:w="0" w:type="auto"/>
            <w:tcBorders>
              <w:bottom w:val="single" w:color="CCCCCC" w:sz="6" w:space="0"/>
              <w:right w:val="single" w:color="CCCCCC" w:sz="6" w:space="0"/>
            </w:tcBorders>
            <w:shd w:val="clear" w:color="auto" w:fill="FFFFFF"/>
            <w:noWrap w:val="0"/>
            <w:tcMar>
              <w:top w:w="45" w:type="dxa"/>
              <w:left w:w="75" w:type="dxa"/>
              <w:bottom w:w="45" w:type="dxa"/>
              <w:right w:w="75" w:type="dxa"/>
            </w:tcMar>
            <w:vAlign w:val="center"/>
          </w:tcPr>
          <w:p>
            <w:pPr>
              <w:pStyle w:val="3"/>
              <w:spacing w:before="150" w:after="150" w:line="360" w:lineRule="auto"/>
              <w:rPr>
                <w:rFonts w:hint="eastAsia" w:cs="Times New Roman"/>
                <w:color w:val="000000"/>
                <w:spacing w:val="-6"/>
              </w:rPr>
            </w:pPr>
            <w:r>
              <w:rPr>
                <w:rFonts w:cs="Times New Roman"/>
                <w:color w:val="000000"/>
                <w:spacing w:val="-6"/>
              </w:rPr>
              <w:t>第 2 包:财务评审服务</w:t>
            </w:r>
          </w:p>
          <w:p>
            <w:pPr>
              <w:pStyle w:val="3"/>
              <w:spacing w:before="150" w:after="150" w:line="360" w:lineRule="auto"/>
              <w:rPr>
                <w:rFonts w:hint="eastAsia" w:cs="Times New Roman"/>
                <w:color w:val="000000"/>
                <w:spacing w:val="-6"/>
              </w:rPr>
            </w:pPr>
            <w:r>
              <w:rPr>
                <w:rFonts w:cs="Times New Roman"/>
                <w:color w:val="000000"/>
                <w:spacing w:val="-6"/>
              </w:rPr>
              <w:t>计费标准：按《四川省会计师事务所服务收费管理办法》（川发改价格〔2013〕901 号） 中“基本建设工程决算审核业务” 计费标准，由投标人作出折扣比例报价。（折扣比例为整数）</w:t>
            </w:r>
          </w:p>
        </w:tc>
      </w:tr>
      <w:tr>
        <w:tblPrEx>
          <w:tblBorders>
            <w:top w:val="single" w:color="CCCCCC" w:sz="6" w:space="0"/>
            <w:left w:val="single" w:color="CCCCCC"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15" w:type="dxa"/>
        </w:trPr>
        <w:tc>
          <w:tcPr>
            <w:tcW w:w="0" w:type="auto"/>
            <w:gridSpan w:val="3"/>
            <w:tcBorders>
              <w:bottom w:val="single" w:color="CCCCCC" w:sz="6" w:space="0"/>
              <w:right w:val="single" w:color="CCCCCC" w:sz="6" w:space="0"/>
            </w:tcBorders>
            <w:shd w:val="clear" w:color="auto" w:fill="FFFFFF"/>
            <w:noWrap w:val="0"/>
            <w:tcMar>
              <w:top w:w="45" w:type="dxa"/>
              <w:left w:w="75" w:type="dxa"/>
              <w:bottom w:w="45" w:type="dxa"/>
              <w:right w:w="75" w:type="dxa"/>
            </w:tcMar>
            <w:vAlign w:val="center"/>
          </w:tcPr>
          <w:p>
            <w:pPr>
              <w:pStyle w:val="3"/>
              <w:spacing w:before="150" w:after="150" w:line="360" w:lineRule="auto"/>
              <w:rPr>
                <w:rFonts w:hint="eastAsia" w:cs="Times New Roman"/>
                <w:color w:val="000000"/>
                <w:spacing w:val="-6"/>
              </w:rPr>
            </w:pPr>
            <w:r>
              <w:rPr>
                <w:rFonts w:cs="Times New Roman"/>
                <w:color w:val="000000"/>
                <w:spacing w:val="-6"/>
              </w:rPr>
              <w:t>第 1、2 包零星协助评审（评价）工作，按照工日计费不报价，采取固定价格：高级职称或全国注册造价工程师或注册会计师为 800 元/人/天，中级职称或工程师或会计师为 700 元/人/天，初级职称及专业技术人员为 600 元/人/天；</w:t>
            </w:r>
          </w:p>
        </w:tc>
      </w:tr>
    </w:tbl>
    <w:p>
      <w:pPr>
        <w:pStyle w:val="3"/>
        <w:shd w:val="clear" w:color="auto" w:fill="FFFFFF"/>
        <w:spacing w:before="150" w:after="150" w:line="360" w:lineRule="auto"/>
        <w:rPr>
          <w:rFonts w:cs="Times New Roman"/>
          <w:color w:val="000000"/>
          <w:spacing w:val="-6"/>
        </w:rPr>
      </w:pPr>
      <w:r>
        <w:rPr>
          <w:rFonts w:cs="Times New Roman"/>
          <w:color w:val="000000"/>
          <w:spacing w:val="-6"/>
        </w:rPr>
        <w:t>二、服务内容、要求：</w:t>
      </w:r>
    </w:p>
    <w:p>
      <w:pPr>
        <w:pStyle w:val="3"/>
        <w:shd w:val="clear" w:color="auto" w:fill="FFFFFF"/>
        <w:spacing w:before="150" w:after="150" w:line="360" w:lineRule="auto"/>
        <w:rPr>
          <w:rFonts w:cs="Times New Roman"/>
          <w:color w:val="000000"/>
          <w:spacing w:val="-6"/>
        </w:rPr>
      </w:pPr>
      <w:r>
        <w:rPr>
          <w:rFonts w:cs="Times New Roman"/>
          <w:color w:val="000000"/>
          <w:spacing w:val="-6"/>
        </w:rPr>
        <w:t>（一）项目总体要求</w:t>
      </w:r>
    </w:p>
    <w:p>
      <w:pPr>
        <w:pStyle w:val="3"/>
        <w:shd w:val="clear" w:color="auto" w:fill="FFFFFF"/>
        <w:spacing w:before="150" w:after="150" w:line="360" w:lineRule="auto"/>
        <w:rPr>
          <w:rFonts w:cs="Times New Roman"/>
          <w:color w:val="000000"/>
          <w:spacing w:val="-6"/>
        </w:rPr>
      </w:pPr>
      <w:r>
        <w:rPr>
          <w:rFonts w:cs="Times New Roman"/>
          <w:color w:val="000000"/>
          <w:spacing w:val="-6"/>
        </w:rPr>
        <w:t>1.投标人应当按照国家相关法律法规和采购人的各种规定和要求，客观、公正、廉洁、科学地开展评审（评价）咨询等工作，并承担相应的法律责任。</w:t>
      </w:r>
    </w:p>
    <w:p>
      <w:pPr>
        <w:pStyle w:val="3"/>
        <w:shd w:val="clear" w:color="auto" w:fill="FFFFFF"/>
        <w:spacing w:before="150" w:after="150" w:line="360" w:lineRule="auto"/>
        <w:rPr>
          <w:rFonts w:cs="Times New Roman"/>
          <w:color w:val="000000"/>
          <w:spacing w:val="-6"/>
        </w:rPr>
      </w:pPr>
      <w:r>
        <w:rPr>
          <w:rFonts w:cs="Times New Roman"/>
          <w:color w:val="000000"/>
          <w:spacing w:val="-6"/>
        </w:rPr>
        <w:t>2.服务内容</w:t>
      </w:r>
    </w:p>
    <w:p>
      <w:pPr>
        <w:pStyle w:val="3"/>
        <w:shd w:val="clear" w:color="auto" w:fill="FFFFFF"/>
        <w:spacing w:before="150" w:after="150" w:line="360" w:lineRule="auto"/>
        <w:rPr>
          <w:rFonts w:cs="Times New Roman"/>
          <w:color w:val="000000"/>
          <w:spacing w:val="-6"/>
        </w:rPr>
      </w:pPr>
      <w:r>
        <w:rPr>
          <w:rFonts w:cs="Times New Roman"/>
          <w:color w:val="000000"/>
          <w:spacing w:val="-6"/>
        </w:rPr>
        <w:t>第 1 包：按照采购人要求，对工程估算、概算、预算（含招标控制价）、结算（含结算复核）等进行评审。</w:t>
      </w:r>
    </w:p>
    <w:p>
      <w:pPr>
        <w:pStyle w:val="3"/>
        <w:shd w:val="clear" w:color="auto" w:fill="FFFFFF"/>
        <w:spacing w:before="150" w:after="150" w:line="360" w:lineRule="auto"/>
        <w:rPr>
          <w:rFonts w:cs="Times New Roman"/>
          <w:color w:val="000000"/>
          <w:spacing w:val="-6"/>
        </w:rPr>
      </w:pPr>
      <w:r>
        <w:rPr>
          <w:rFonts w:cs="Times New Roman"/>
          <w:color w:val="000000"/>
          <w:spacing w:val="-6"/>
        </w:rPr>
        <w:t>第 2 包：按照采购人要求，对竣工财务决算、可由社会机构参与的预算评审、项目支出预算事前绩效、项目支出绩效等进行评审。</w:t>
      </w:r>
    </w:p>
    <w:p>
      <w:pPr>
        <w:pStyle w:val="3"/>
        <w:shd w:val="clear" w:color="auto" w:fill="FFFFFF"/>
        <w:spacing w:before="150" w:after="150" w:line="360" w:lineRule="auto"/>
        <w:rPr>
          <w:rFonts w:cs="Times New Roman"/>
          <w:color w:val="000000"/>
          <w:spacing w:val="-6"/>
        </w:rPr>
      </w:pPr>
      <w:r>
        <w:rPr>
          <w:rFonts w:cs="Times New Roman"/>
          <w:color w:val="000000"/>
          <w:spacing w:val="-6"/>
        </w:rPr>
        <w:t>▲（实质性要求）3.人员配置要求：</w:t>
      </w:r>
    </w:p>
    <w:p>
      <w:pPr>
        <w:pStyle w:val="3"/>
        <w:shd w:val="clear" w:color="auto" w:fill="FFFFFF"/>
        <w:spacing w:before="150" w:after="150" w:line="360" w:lineRule="auto"/>
        <w:rPr>
          <w:rFonts w:cs="Times New Roman"/>
          <w:color w:val="000000"/>
          <w:spacing w:val="-6"/>
        </w:rPr>
      </w:pPr>
      <w:r>
        <w:rPr>
          <w:rFonts w:cs="Times New Roman"/>
          <w:color w:val="000000"/>
          <w:spacing w:val="-6"/>
        </w:rPr>
        <w:t>第一包：投标人应为所投包件业务配置固定的人员（提供承诺函）。派出完成项目的人员必须是注册在投标单位、具有从业工作经验的一级造价工程师（全国注册造价工程师），至少包含土建、安装、水利、交通（公路）专业，本项目一级造价工程师（全国注册造价工程师）总人数不得低于50人。</w:t>
      </w:r>
    </w:p>
    <w:p>
      <w:pPr>
        <w:pStyle w:val="3"/>
        <w:shd w:val="clear" w:color="auto" w:fill="FFFFFF"/>
        <w:spacing w:before="150" w:after="150" w:line="360" w:lineRule="auto"/>
        <w:rPr>
          <w:rFonts w:cs="Times New Roman"/>
          <w:color w:val="000000"/>
          <w:spacing w:val="-6"/>
        </w:rPr>
      </w:pPr>
      <w:r>
        <w:rPr>
          <w:rFonts w:cs="Times New Roman"/>
          <w:color w:val="000000"/>
          <w:spacing w:val="-6"/>
        </w:rPr>
        <w:t>第二包：投标人需要为采购人安排合理高效的服务团队，并安排专人对接评审事项。派出完成项目的管理团队成员必须是注册在投标单位在职人员，且为供应商在投标文件中承诺的参审人员。项目经理：2人以上，有较好的组织、技术应用及质量管控能力，及时发现和解决问题的能力，本项目注册会计师总人数不得低于 30 人。</w:t>
      </w:r>
    </w:p>
    <w:p>
      <w:pPr>
        <w:pStyle w:val="3"/>
        <w:shd w:val="clear" w:color="auto" w:fill="FFFFFF"/>
        <w:spacing w:before="150" w:after="150" w:line="360" w:lineRule="auto"/>
        <w:rPr>
          <w:rFonts w:cs="Times New Roman"/>
          <w:color w:val="000000"/>
          <w:spacing w:val="-6"/>
        </w:rPr>
      </w:pPr>
      <w:r>
        <w:rPr>
          <w:rFonts w:cs="Times New Roman"/>
          <w:color w:val="000000"/>
          <w:spacing w:val="-6"/>
        </w:rPr>
        <w:t>（二）商务、服务要求：</w:t>
      </w:r>
    </w:p>
    <w:p>
      <w:pPr>
        <w:pStyle w:val="3"/>
        <w:shd w:val="clear" w:color="auto" w:fill="FFFFFF"/>
        <w:spacing w:before="150" w:after="150" w:line="360" w:lineRule="auto"/>
        <w:rPr>
          <w:rFonts w:cs="Times New Roman"/>
          <w:color w:val="000000"/>
          <w:spacing w:val="-6"/>
        </w:rPr>
      </w:pPr>
      <w:r>
        <w:rPr>
          <w:rFonts w:cs="Times New Roman"/>
          <w:color w:val="000000"/>
          <w:spacing w:val="-6"/>
        </w:rPr>
        <w:t>1.中标人应客观、公正、廉洁地履行采购人的服务任务职责，并接受采购人的监督管理，按时完成服务任务，工作质量达到采购人要求，对不符合质量要求或违反廉政纪律的，采购人将按照合同约定扣减相应服务费用或暂停服务任务或终止其服务合同或提请相关部门将其列入失信名单，并追究相关法律责任。</w:t>
      </w:r>
    </w:p>
    <w:p>
      <w:pPr>
        <w:pStyle w:val="3"/>
        <w:shd w:val="clear" w:color="auto" w:fill="FFFFFF"/>
        <w:spacing w:before="150" w:after="150" w:line="360" w:lineRule="auto"/>
        <w:rPr>
          <w:rFonts w:cs="Times New Roman"/>
          <w:color w:val="000000"/>
          <w:spacing w:val="-6"/>
        </w:rPr>
      </w:pPr>
      <w:r>
        <w:rPr>
          <w:rFonts w:cs="Times New Roman"/>
          <w:color w:val="000000"/>
          <w:spacing w:val="-6"/>
        </w:rPr>
        <w:t>2.中标人与采购人签订服务合同，双方按照合同约定共同承担和遵守；采购人根据工作需要及考核情况（服务配合、能力素质、工作质量、工作效率、工作纪律等方面）安排具体的服务任务。</w:t>
      </w:r>
    </w:p>
    <w:p>
      <w:pPr>
        <w:pStyle w:val="3"/>
        <w:shd w:val="clear" w:color="auto" w:fill="FFFFFF"/>
        <w:spacing w:before="150" w:after="150" w:line="360" w:lineRule="auto"/>
        <w:rPr>
          <w:rFonts w:cs="Times New Roman"/>
          <w:color w:val="000000"/>
          <w:spacing w:val="-6"/>
        </w:rPr>
      </w:pPr>
      <w:r>
        <w:rPr>
          <w:rFonts w:cs="Times New Roman"/>
          <w:color w:val="000000"/>
          <w:spacing w:val="-6"/>
        </w:rPr>
        <w:t>3.响应服务的时限为接到通知后1个工作日按照采购人工作要求提供人员配置。</w:t>
      </w:r>
    </w:p>
    <w:p>
      <w:pPr>
        <w:pStyle w:val="3"/>
        <w:shd w:val="clear" w:color="auto" w:fill="FFFFFF"/>
        <w:spacing w:before="150" w:after="150" w:line="360" w:lineRule="auto"/>
        <w:rPr>
          <w:rFonts w:cs="Times New Roman"/>
          <w:color w:val="000000"/>
          <w:spacing w:val="-6"/>
        </w:rPr>
      </w:pPr>
      <w:r>
        <w:rPr>
          <w:rFonts w:hint="eastAsia" w:cs="Times New Roman"/>
          <w:color w:val="000000"/>
          <w:spacing w:val="-6"/>
          <w:lang w:val="en-US" w:eastAsia="zh-CN"/>
        </w:rPr>
        <w:t>4.</w:t>
      </w:r>
      <w:r>
        <w:rPr>
          <w:rFonts w:hint="eastAsia" w:cs="Times New Roman"/>
          <w:color w:val="000000"/>
          <w:spacing w:val="-6"/>
        </w:rPr>
        <w:t>供应商</w:t>
      </w:r>
      <w:r>
        <w:rPr>
          <w:rFonts w:hint="eastAsia" w:cs="Times New Roman"/>
          <w:color w:val="000000"/>
          <w:spacing w:val="-6"/>
          <w:lang w:eastAsia="zh-CN"/>
        </w:rPr>
        <w:t>（供应商是联合体的，包含联合体内所有单位）</w:t>
      </w:r>
      <w:r>
        <w:rPr>
          <w:rFonts w:hint="eastAsia" w:cs="Times New Roman"/>
          <w:color w:val="000000"/>
          <w:spacing w:val="-6"/>
        </w:rPr>
        <w:t>需保证在承接本单位具体业务时，非本公司存在劳动合同雇佣关系人员不得以本公司名义承接业务，否则一经查实，</w:t>
      </w:r>
      <w:r>
        <w:rPr>
          <w:rFonts w:hint="eastAsia" w:cs="Times New Roman"/>
          <w:color w:val="000000"/>
          <w:spacing w:val="-6"/>
          <w:lang w:eastAsia="zh-CN"/>
        </w:rPr>
        <w:t>将取消其继续承接业务资格，并</w:t>
      </w:r>
      <w:r>
        <w:rPr>
          <w:rFonts w:hint="eastAsia" w:cs="Times New Roman"/>
          <w:color w:val="000000"/>
          <w:spacing w:val="-6"/>
        </w:rPr>
        <w:t>追究其法律责任，且每次接受委托时需提交一份固定的本公司拟派遣员工的清单及本公司人员证明函（</w:t>
      </w:r>
      <w:r>
        <w:rPr>
          <w:rFonts w:hint="eastAsia" w:cs="Times New Roman"/>
          <w:color w:val="000000"/>
          <w:spacing w:val="-6"/>
          <w:lang w:val="en-US" w:eastAsia="zh-CN"/>
        </w:rPr>
        <w:t>投标人</w:t>
      </w:r>
      <w:r>
        <w:rPr>
          <w:rFonts w:hint="eastAsia" w:cs="Times New Roman"/>
          <w:color w:val="000000"/>
          <w:spacing w:val="-6"/>
        </w:rPr>
        <w:t>中标后，签订合同前提供承诺函）</w:t>
      </w:r>
      <w:r>
        <w:rPr>
          <w:rFonts w:hint="eastAsia" w:cs="Times New Roman"/>
          <w:color w:val="000000"/>
          <w:spacing w:val="-6"/>
          <w:lang w:eastAsia="zh-CN"/>
        </w:rPr>
        <w:t>。</w:t>
      </w:r>
    </w:p>
    <w:p>
      <w:pPr>
        <w:pStyle w:val="3"/>
        <w:shd w:val="clear" w:color="auto" w:fill="FFFFFF"/>
        <w:spacing w:before="150" w:after="150" w:line="360" w:lineRule="auto"/>
        <w:rPr>
          <w:rFonts w:cs="Times New Roman"/>
          <w:color w:val="000000"/>
          <w:spacing w:val="-6"/>
        </w:rPr>
      </w:pPr>
      <w:r>
        <w:rPr>
          <w:rFonts w:hint="eastAsia" w:cs="Times New Roman"/>
          <w:color w:val="000000"/>
          <w:spacing w:val="-6"/>
          <w:lang w:val="en-US" w:eastAsia="zh-CN"/>
        </w:rPr>
        <w:t>5</w:t>
      </w:r>
      <w:r>
        <w:rPr>
          <w:rFonts w:cs="Times New Roman"/>
          <w:color w:val="000000"/>
          <w:spacing w:val="-6"/>
        </w:rPr>
        <w:t>.中标人在服务期间，可能因国家政策变化或其他原因导致无具体业务执行，采购人不保证中标人的具体业务量，均按实际发生业务结算。请投标人考虑此风险的情况下自主决定是否参与本项目。</w:t>
      </w:r>
    </w:p>
    <w:p>
      <w:pPr>
        <w:pStyle w:val="3"/>
        <w:shd w:val="clear" w:color="auto" w:fill="FFFFFF"/>
        <w:spacing w:before="150" w:after="150" w:line="360" w:lineRule="auto"/>
        <w:rPr>
          <w:rFonts w:cs="Times New Roman"/>
          <w:color w:val="000000"/>
          <w:spacing w:val="-6"/>
        </w:rPr>
      </w:pPr>
      <w:r>
        <w:rPr>
          <w:rFonts w:hint="eastAsia" w:cs="Times New Roman"/>
          <w:color w:val="000000"/>
          <w:spacing w:val="-6"/>
          <w:lang w:val="en-US" w:eastAsia="zh-CN"/>
        </w:rPr>
        <w:t>6</w:t>
      </w:r>
      <w:r>
        <w:rPr>
          <w:rFonts w:cs="Times New Roman"/>
          <w:color w:val="000000"/>
          <w:spacing w:val="-6"/>
        </w:rPr>
        <w:t>.服务时间及地点</w:t>
      </w:r>
    </w:p>
    <w:p>
      <w:pPr>
        <w:pStyle w:val="3"/>
        <w:shd w:val="clear" w:color="auto" w:fill="FFFFFF"/>
        <w:spacing w:before="150" w:after="150" w:line="360" w:lineRule="auto"/>
        <w:rPr>
          <w:rFonts w:cs="Times New Roman"/>
          <w:color w:val="000000"/>
          <w:spacing w:val="-6"/>
        </w:rPr>
      </w:pPr>
      <w:r>
        <w:rPr>
          <w:rFonts w:cs="Times New Roman"/>
          <w:color w:val="000000"/>
          <w:spacing w:val="-6"/>
        </w:rPr>
        <w:t>根据委托服务任务时，确定服务时间及地点。</w:t>
      </w:r>
    </w:p>
    <w:p>
      <w:pPr>
        <w:pStyle w:val="3"/>
        <w:shd w:val="clear" w:color="auto" w:fill="FFFFFF"/>
        <w:spacing w:before="150" w:after="150" w:line="360" w:lineRule="auto"/>
        <w:rPr>
          <w:rFonts w:cs="Times New Roman"/>
          <w:color w:val="000000"/>
          <w:spacing w:val="-6"/>
        </w:rPr>
      </w:pPr>
      <w:r>
        <w:rPr>
          <w:rFonts w:hint="eastAsia" w:cs="Times New Roman"/>
          <w:color w:val="000000"/>
          <w:spacing w:val="-6"/>
          <w:lang w:val="en-US" w:eastAsia="zh-CN"/>
        </w:rPr>
        <w:t>7</w:t>
      </w:r>
      <w:r>
        <w:rPr>
          <w:rFonts w:cs="Times New Roman"/>
          <w:color w:val="000000"/>
          <w:spacing w:val="-6"/>
        </w:rPr>
        <w:t>.服务期限</w:t>
      </w:r>
    </w:p>
    <w:p>
      <w:pPr>
        <w:pStyle w:val="3"/>
        <w:shd w:val="clear" w:color="auto" w:fill="FFFFFF"/>
        <w:spacing w:before="150" w:after="150" w:line="360" w:lineRule="auto"/>
        <w:rPr>
          <w:rFonts w:cs="Times New Roman"/>
          <w:color w:val="000000"/>
          <w:spacing w:val="-6"/>
        </w:rPr>
      </w:pPr>
      <w:r>
        <w:rPr>
          <w:rFonts w:cs="Times New Roman"/>
          <w:color w:val="000000"/>
          <w:spacing w:val="-6"/>
        </w:rPr>
        <w:t>服务期限为三年，合同一年一签。采购人按《广元市财政局委托社会协作机构参与评审工作管理办法（试行）》（广财办﹝2018﹞90号）将定期或不定期对中标人进行考核，待考核合格后续签下一年合同。考核不合格，不续签下一年合同，造成的一切后果由中标单位承担。</w:t>
      </w:r>
    </w:p>
    <w:p>
      <w:pPr>
        <w:pStyle w:val="3"/>
        <w:shd w:val="clear" w:color="auto" w:fill="FFFFFF"/>
        <w:spacing w:before="150" w:after="150" w:line="360" w:lineRule="auto"/>
        <w:rPr>
          <w:rFonts w:cs="Times New Roman"/>
          <w:color w:val="000000"/>
          <w:spacing w:val="-6"/>
        </w:rPr>
      </w:pPr>
      <w:r>
        <w:rPr>
          <w:rFonts w:hint="eastAsia" w:cs="Times New Roman"/>
          <w:color w:val="000000"/>
          <w:spacing w:val="-6"/>
          <w:lang w:val="en-US" w:eastAsia="zh-CN"/>
        </w:rPr>
        <w:t>8</w:t>
      </w:r>
      <w:r>
        <w:rPr>
          <w:rFonts w:cs="Times New Roman"/>
          <w:color w:val="000000"/>
          <w:spacing w:val="-6"/>
        </w:rPr>
        <w:t>.费用支付</w:t>
      </w:r>
    </w:p>
    <w:p>
      <w:pPr>
        <w:pStyle w:val="3"/>
        <w:shd w:val="clear" w:color="auto" w:fill="FFFFFF"/>
        <w:spacing w:before="150" w:after="150" w:line="360" w:lineRule="auto"/>
        <w:rPr>
          <w:rFonts w:cs="Times New Roman"/>
          <w:color w:val="000000"/>
          <w:spacing w:val="-6"/>
        </w:rPr>
      </w:pPr>
      <w:r>
        <w:rPr>
          <w:rFonts w:hint="eastAsia" w:cs="Times New Roman"/>
          <w:color w:val="000000"/>
          <w:spacing w:val="-6"/>
          <w:lang w:val="en-US" w:eastAsia="zh-CN"/>
        </w:rPr>
        <w:t>8</w:t>
      </w:r>
      <w:r>
        <w:rPr>
          <w:rFonts w:cs="Times New Roman"/>
          <w:color w:val="000000"/>
          <w:spacing w:val="-6"/>
        </w:rPr>
        <w:t>.1服务费用的结算，根据中标价格及甲方委托任务的数量、性质据实结算。</w:t>
      </w:r>
    </w:p>
    <w:p>
      <w:pPr>
        <w:pStyle w:val="3"/>
        <w:shd w:val="clear" w:color="auto" w:fill="FFFFFF"/>
        <w:spacing w:before="150" w:after="150" w:line="360" w:lineRule="auto"/>
        <w:rPr>
          <w:rFonts w:cs="Times New Roman"/>
          <w:color w:val="000000"/>
          <w:spacing w:val="-6"/>
        </w:rPr>
      </w:pPr>
      <w:r>
        <w:rPr>
          <w:rFonts w:hint="eastAsia" w:cs="Times New Roman"/>
          <w:color w:val="000000"/>
          <w:spacing w:val="-6"/>
          <w:lang w:val="en-US" w:eastAsia="zh-CN"/>
        </w:rPr>
        <w:t>8</w:t>
      </w:r>
      <w:r>
        <w:rPr>
          <w:rFonts w:cs="Times New Roman"/>
          <w:color w:val="000000"/>
          <w:spacing w:val="-6"/>
        </w:rPr>
        <w:t>.2 服务费用分期支付。采购人将按照项目合同约定，依据审批手续和中标单位提供的合法有效资料每半年给中标单位支付一次。</w:t>
      </w:r>
    </w:p>
    <w:p>
      <w:pPr>
        <w:pStyle w:val="3"/>
        <w:shd w:val="clear" w:color="auto" w:fill="FFFFFF"/>
        <w:spacing w:before="150" w:after="150" w:line="360" w:lineRule="auto"/>
        <w:rPr>
          <w:rFonts w:cs="Times New Roman"/>
          <w:color w:val="000000"/>
          <w:spacing w:val="-6"/>
        </w:rPr>
      </w:pPr>
      <w:r>
        <w:rPr>
          <w:rFonts w:hint="eastAsia" w:cs="Times New Roman"/>
          <w:color w:val="000000"/>
          <w:spacing w:val="-6"/>
          <w:lang w:val="en-US" w:eastAsia="zh-CN"/>
        </w:rPr>
        <w:t>8</w:t>
      </w:r>
      <w:r>
        <w:rPr>
          <w:rFonts w:cs="Times New Roman"/>
          <w:color w:val="000000"/>
          <w:spacing w:val="-6"/>
        </w:rPr>
        <w:t>.3服务费用支付方式为：转账。</w:t>
      </w:r>
    </w:p>
    <w:p>
      <w:pPr>
        <w:pStyle w:val="3"/>
        <w:shd w:val="clear" w:color="auto" w:fill="FFFFFF"/>
        <w:spacing w:before="150" w:after="150" w:line="360" w:lineRule="auto"/>
        <w:rPr>
          <w:rFonts w:cs="Times New Roman"/>
          <w:color w:val="000000"/>
          <w:spacing w:val="-6"/>
        </w:rPr>
      </w:pPr>
      <w:r>
        <w:rPr>
          <w:rFonts w:cs="Times New Roman"/>
          <w:color w:val="000000"/>
          <w:spacing w:val="-6"/>
        </w:rPr>
        <w:t>注：▲为实质性要求，投标人必须满足，否则将作无效投标处理。</w:t>
      </w:r>
    </w:p>
    <w:p>
      <w:pPr>
        <w:spacing w:line="360" w:lineRule="auto"/>
        <w:jc w:val="center"/>
        <w:outlineLvl w:val="0"/>
        <w:rPr>
          <w:rFonts w:hint="eastAsia" w:ascii="宋体" w:hAnsi="宋体"/>
          <w:b/>
          <w:color w:val="000000"/>
          <w:sz w:val="36"/>
          <w:szCs w:val="24"/>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9945A4"/>
    <w:rsid w:val="739945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12" w:lineRule="atLeast"/>
      <w:jc w:val="both"/>
      <w:textAlignment w:val="baseline"/>
    </w:pPr>
    <w:rPr>
      <w:rFonts w:ascii="Times New Roman" w:hAnsi="Times New Roman" w:eastAsia="宋体" w:cs="Times New Roman"/>
      <w:sz w:val="34"/>
      <w:szCs w:val="3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widowControl/>
      <w:adjustRightInd/>
      <w:spacing w:line="360" w:lineRule="auto"/>
    </w:pPr>
    <w:rPr>
      <w:szCs w:val="20"/>
    </w:rPr>
  </w:style>
  <w:style w:type="paragraph" w:styleId="3">
    <w:name w:val="Normal (Web)"/>
    <w:basedOn w:val="1"/>
    <w:qFormat/>
    <w:uiPriority w:val="99"/>
    <w:pPr>
      <w:widowControl/>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2021-07-30T10:25:00Z</dcterms:created>
  <dc:creator>。。。。。。</dc:creator>
  <cp:lastModifiedBy>。。。。。。</cp:lastModifiedBy>
  <dcterms:modified xsi:type="dcterms:W3CDTF">2021-07-30T10:29:39Z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