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pacing w:line="360" w:lineRule="auto"/>
        <w:jc w:val="center"/>
        <w:outlineLvl w:val="0"/>
        <w:rPr>
          <w:rFonts w:ascii="宋体"/>
          <w:b/>
          <w:kern w:val="2"/>
          <w:sz w:val="36"/>
          <w:szCs w:val="24"/>
        </w:rPr>
      </w:pPr>
      <w:r>
        <w:rPr>
          <w:rFonts w:hint="eastAsia" w:ascii="宋体" w:hAnsi="宋体"/>
          <w:b/>
          <w:kern w:val="2"/>
          <w:sz w:val="36"/>
          <w:szCs w:val="24"/>
        </w:rPr>
        <w:t>招标项目技术、服务、政府采购合同</w:t>
      </w:r>
    </w:p>
    <w:p>
      <w:pPr>
        <w:widowControl/>
        <w:adjustRightInd/>
        <w:spacing w:line="360" w:lineRule="auto"/>
        <w:ind w:left="3997" w:leftChars="829" w:hanging="1178" w:hangingChars="326"/>
        <w:outlineLvl w:val="1"/>
        <w:rPr>
          <w:kern w:val="2"/>
          <w:sz w:val="20"/>
          <w:szCs w:val="24"/>
        </w:rPr>
      </w:pPr>
      <w:r>
        <w:rPr>
          <w:rFonts w:hint="eastAsia" w:ascii="宋体" w:hAnsi="宋体"/>
          <w:b/>
          <w:kern w:val="2"/>
          <w:sz w:val="36"/>
          <w:szCs w:val="24"/>
        </w:rPr>
        <w:t>内容条款及其他商务要求</w:t>
      </w:r>
    </w:p>
    <w:p>
      <w:pPr>
        <w:spacing w:line="360" w:lineRule="auto"/>
        <w:ind w:firstLine="456" w:firstLineChars="200"/>
        <w:rPr>
          <w:rFonts w:ascii="宋体"/>
          <w:spacing w:val="-6"/>
          <w:sz w:val="24"/>
          <w:szCs w:val="24"/>
        </w:rPr>
      </w:pPr>
      <w:r>
        <w:rPr>
          <w:rFonts w:hint="eastAsia" w:ascii="宋体" w:hAnsi="宋体"/>
          <w:spacing w:val="-6"/>
          <w:sz w:val="24"/>
          <w:szCs w:val="24"/>
        </w:rPr>
        <w:t>本项目基本要求是指按采购人所提供的产品明细清单上所列出的全部要求，如果投标人能提供“技术参数、使用功能、安全性能、节能降耗减排、改善环境、使用寿命”等方面更优的产品的，允许优于基本要求的产品替代，但不得因此而要求采购人追加采购资金。</w:t>
      </w:r>
    </w:p>
    <w:p>
      <w:pPr>
        <w:spacing w:line="360" w:lineRule="auto"/>
        <w:jc w:val="left"/>
        <w:outlineLvl w:val="0"/>
        <w:rPr>
          <w:rFonts w:hint="eastAsia" w:ascii="宋体" w:hAnsi="宋体"/>
          <w:b/>
          <w:sz w:val="36"/>
          <w:szCs w:val="24"/>
        </w:rPr>
      </w:pPr>
      <w:r>
        <w:rPr>
          <w:rFonts w:hint="eastAsia" w:ascii="宋体" w:hAnsi="宋体"/>
          <w:spacing w:val="-6"/>
          <w:sz w:val="24"/>
          <w:szCs w:val="24"/>
        </w:rPr>
        <w:t>注意：本章的要求不能作为资格性条件要求评审，如存在资格性条件要求，应当认定评审文件编制存在重大缺陷，评审小组应当停止评审。</w:t>
      </w:r>
    </w:p>
    <w:p>
      <w:pPr>
        <w:spacing w:before="240" w:after="240"/>
        <w:rPr>
          <w:rStyle w:val="7"/>
          <w:rFonts w:hint="eastAsia" w:ascii="宋体" w:hAnsi="宋体" w:eastAsia="宋体" w:cs="宋体"/>
          <w:sz w:val="24"/>
          <w:szCs w:val="24"/>
        </w:rPr>
      </w:pPr>
      <w:r>
        <w:rPr>
          <w:rStyle w:val="7"/>
          <w:rFonts w:hint="eastAsia" w:ascii="宋体" w:hAnsi="宋体" w:eastAsia="宋体" w:cs="宋体"/>
          <w:b/>
          <w:bCs/>
          <w:sz w:val="24"/>
          <w:szCs w:val="24"/>
        </w:rPr>
        <w:t>一、采购清单：</w:t>
      </w:r>
    </w:p>
    <w:tbl>
      <w:tblPr>
        <w:tblStyle w:val="6"/>
        <w:tblW w:w="0" w:type="auto"/>
        <w:tblCellSpacing w:w="15" w:type="dxa"/>
        <w:tblInd w:w="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400"/>
        <w:gridCol w:w="2402"/>
        <w:gridCol w:w="2850"/>
        <w:gridCol w:w="1758"/>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68"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序号</w:t>
            </w:r>
          </w:p>
        </w:tc>
        <w:tc>
          <w:tcPr>
            <w:tcW w:w="2595"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名称</w:t>
            </w:r>
          </w:p>
        </w:tc>
        <w:tc>
          <w:tcPr>
            <w:tcW w:w="3053"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数量(万）</w:t>
            </w:r>
          </w:p>
        </w:tc>
        <w:tc>
          <w:tcPr>
            <w:tcW w:w="1864"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68"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1</w:t>
            </w:r>
          </w:p>
        </w:tc>
        <w:tc>
          <w:tcPr>
            <w:tcW w:w="2595"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生猪耳标</w:t>
            </w:r>
          </w:p>
        </w:tc>
        <w:tc>
          <w:tcPr>
            <w:tcW w:w="3053"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246</w:t>
            </w:r>
          </w:p>
        </w:tc>
        <w:tc>
          <w:tcPr>
            <w:tcW w:w="1864"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套</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68"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2</w:t>
            </w:r>
          </w:p>
        </w:tc>
        <w:tc>
          <w:tcPr>
            <w:tcW w:w="2595"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牛耳标</w:t>
            </w:r>
          </w:p>
        </w:tc>
        <w:tc>
          <w:tcPr>
            <w:tcW w:w="3053"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3</w:t>
            </w:r>
          </w:p>
        </w:tc>
        <w:tc>
          <w:tcPr>
            <w:tcW w:w="1864"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套</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68"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3</w:t>
            </w:r>
          </w:p>
        </w:tc>
        <w:tc>
          <w:tcPr>
            <w:tcW w:w="2595"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羊耳标</w:t>
            </w:r>
          </w:p>
        </w:tc>
        <w:tc>
          <w:tcPr>
            <w:tcW w:w="3053"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2.5</w:t>
            </w:r>
          </w:p>
        </w:tc>
        <w:tc>
          <w:tcPr>
            <w:tcW w:w="1864"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套</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68"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合计</w:t>
            </w:r>
          </w:p>
        </w:tc>
        <w:tc>
          <w:tcPr>
            <w:tcW w:w="2595"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牲畜耳标</w:t>
            </w:r>
          </w:p>
        </w:tc>
        <w:tc>
          <w:tcPr>
            <w:tcW w:w="3053"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251.5</w:t>
            </w:r>
          </w:p>
        </w:tc>
        <w:tc>
          <w:tcPr>
            <w:tcW w:w="1864" w:type="dxa"/>
            <w:tcBorders>
              <w:top w:val="single" w:color="808080" w:sz="6" w:space="0"/>
              <w:left w:val="single" w:color="808080" w:sz="6" w:space="0"/>
              <w:bottom w:val="single" w:color="808080" w:sz="6" w:space="0"/>
              <w:right w:val="single" w:color="808080" w:sz="6" w:space="0"/>
            </w:tcBorders>
            <w:noWrap w:val="0"/>
            <w:tcMar>
              <w:top w:w="22" w:type="dxa"/>
              <w:left w:w="22" w:type="dxa"/>
              <w:bottom w:w="22" w:type="dxa"/>
              <w:right w:w="22" w:type="dxa"/>
            </w:tcMar>
            <w:vAlign w:val="center"/>
          </w:tcPr>
          <w:p>
            <w:pPr>
              <w:widowControl w:val="0"/>
              <w:jc w:val="center"/>
              <w:rPr>
                <w:rStyle w:val="7"/>
                <w:rFonts w:hint="eastAsia" w:ascii="宋体" w:hAnsi="宋体" w:eastAsia="宋体" w:cs="宋体"/>
                <w:b w:val="0"/>
                <w:bCs w:val="0"/>
                <w:i w:val="0"/>
                <w:iCs w:val="0"/>
                <w:smallCaps w:val="0"/>
                <w:color w:val="000000"/>
                <w:kern w:val="2"/>
                <w:sz w:val="24"/>
                <w:szCs w:val="24"/>
              </w:rPr>
            </w:pPr>
            <w:r>
              <w:rPr>
                <w:rStyle w:val="7"/>
                <w:rFonts w:hint="eastAsia" w:ascii="宋体" w:hAnsi="宋体" w:eastAsia="宋体" w:cs="宋体"/>
                <w:b w:val="0"/>
                <w:bCs w:val="0"/>
                <w:i w:val="0"/>
                <w:iCs w:val="0"/>
                <w:smallCaps w:val="0"/>
                <w:color w:val="000000"/>
                <w:kern w:val="2"/>
                <w:sz w:val="24"/>
                <w:szCs w:val="24"/>
              </w:rPr>
              <w:t>套</w:t>
            </w:r>
          </w:p>
        </w:tc>
      </w:tr>
    </w:tbl>
    <w:p>
      <w:pPr>
        <w:spacing w:before="240" w:after="240"/>
        <w:rPr>
          <w:rStyle w:val="7"/>
          <w:rFonts w:hint="eastAsia" w:ascii="宋体" w:hAnsi="宋体" w:eastAsia="宋体" w:cs="宋体"/>
          <w:sz w:val="24"/>
          <w:szCs w:val="24"/>
        </w:rPr>
      </w:pPr>
      <w:r>
        <w:rPr>
          <w:rStyle w:val="7"/>
          <w:rFonts w:hint="eastAsia" w:ascii="宋体" w:hAnsi="宋体" w:eastAsia="宋体" w:cs="宋体"/>
          <w:b/>
          <w:bCs/>
          <w:sz w:val="24"/>
          <w:szCs w:val="24"/>
        </w:rPr>
        <w:t>二、技术参数要求：</w:t>
      </w:r>
    </w:p>
    <w:p>
      <w:pPr>
        <w:spacing w:before="240" w:after="240"/>
        <w:rPr>
          <w:rStyle w:val="7"/>
          <w:rFonts w:hint="eastAsia" w:ascii="宋体" w:hAnsi="宋体" w:eastAsia="宋体" w:cs="宋体"/>
          <w:sz w:val="24"/>
          <w:szCs w:val="24"/>
        </w:rPr>
      </w:pPr>
      <w:r>
        <w:rPr>
          <w:rStyle w:val="7"/>
          <w:rFonts w:hint="eastAsia" w:ascii="宋体" w:hAnsi="宋体" w:eastAsia="宋体" w:cs="宋体"/>
          <w:b/>
          <w:bCs/>
          <w:sz w:val="24"/>
          <w:szCs w:val="24"/>
        </w:rPr>
        <w:t>★(一)牲畜耳标的形状、颜色及规格尺寸</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1.猪耳标：圆形 、粉红色</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1.1主标耳标面为圆形，直径30±0.59 mm， 中央孔外口直径6±0.25mm， 厚度2±0.29mm。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1.2 耳标颈为表面光滑的圆台体，圆台底外直径6±0.25 mm、内孔直径3±0.19mm，圆台顶外直径4.5±0.23mm、内孔直径2±0.19，高度13±0.33mm。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1.3 耳标头为密封的圆锥体，锥底直径7.5</w:t>
      </w:r>
      <w:r>
        <w:rPr>
          <w:rStyle w:val="7"/>
          <w:rFonts w:hint="eastAsia" w:ascii="宋体" w:hAnsi="宋体" w:eastAsia="宋体" w:cs="宋体"/>
          <w:sz w:val="24"/>
          <w:szCs w:val="24"/>
          <w:vertAlign w:val="superscript"/>
        </w:rPr>
        <w:t>+0.1</w:t>
      </w:r>
      <w:r>
        <w:rPr>
          <w:rStyle w:val="7"/>
          <w:rFonts w:hint="eastAsia" w:ascii="宋体" w:hAnsi="宋体" w:eastAsia="宋体" w:cs="宋体"/>
          <w:sz w:val="24"/>
          <w:szCs w:val="24"/>
          <w:vertAlign w:val="subscript"/>
        </w:rPr>
        <w:t>-0.28</w:t>
      </w:r>
      <w:r>
        <w:rPr>
          <w:rStyle w:val="7"/>
          <w:rFonts w:hint="eastAsia" w:ascii="宋体" w:hAnsi="宋体" w:eastAsia="宋体" w:cs="宋体"/>
          <w:sz w:val="24"/>
          <w:szCs w:val="24"/>
        </w:rPr>
        <w:t>mm、高度8±0.30mm， 锥顶实体高度4±0.22mm。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1.4辅标耳标面为圆形，直径22±0.53mm，厚度2±0.29mm。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1.5 耳标锁扣位于辅标耳标面中央， 由锁芯和圆柱套管组成，锁芯为圆台体倒喇叭立体形状，锁芯的外孔直径，8.6 ±0.30mm 、 内孔直径5±0.24mm、 高度4.5±0.24mm； 圆柱套管直径13.8±0.34mm，内直径10±0.32mm，高度11 ±0.32mm。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2.牛耳标：铲形、浅黄色</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2.1主标耳标面为圆形，直径30±0.59 mm， 中央孔外口直径6±0.25mm， 厚度2±0.29mm。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2.2 耳标颈为表面光滑的圆台体，圆台底外直径6±0.25 mm、内孔直径3±0.19mm，圆台顶外直径4.5±0.23mm、内孔直径2±0.19，高度13±0.33mm。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2.3 耳标头为密封的圆锥体，锥底直径7.5</w:t>
      </w:r>
      <w:r>
        <w:rPr>
          <w:rStyle w:val="7"/>
          <w:rFonts w:hint="eastAsia" w:ascii="宋体" w:hAnsi="宋体" w:eastAsia="宋体" w:cs="宋体"/>
          <w:sz w:val="24"/>
          <w:szCs w:val="24"/>
          <w:vertAlign w:val="superscript"/>
        </w:rPr>
        <w:t>+0.1</w:t>
      </w:r>
      <w:r>
        <w:rPr>
          <w:rStyle w:val="7"/>
          <w:rFonts w:hint="eastAsia" w:ascii="宋体" w:hAnsi="宋体" w:eastAsia="宋体" w:cs="宋体"/>
          <w:sz w:val="24"/>
          <w:szCs w:val="24"/>
          <w:vertAlign w:val="subscript"/>
        </w:rPr>
        <w:t>-0.28</w:t>
      </w:r>
      <w:r>
        <w:rPr>
          <w:rStyle w:val="7"/>
          <w:rFonts w:hint="eastAsia" w:ascii="宋体" w:hAnsi="宋体" w:eastAsia="宋体" w:cs="宋体"/>
          <w:sz w:val="24"/>
          <w:szCs w:val="24"/>
        </w:rPr>
        <w:t>mm、高度8±0.30mm， 锥顶实体高度4±0.22mm。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2.4 辅标耳标面为铲形，铲为直角长方形，宽27.8±0.46 mm，长 45±0.62 mm。上端厚度2±0.29mm，下端厚度1.5±0.15mm。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2.5 耳标锁扣位于铲形一边， 由锁芯和圆柱套管组成，锁芯一为圆台体倒喇叭立体形状，锁芯的外孔直径8.6±0.30mm、 内孔直径5±0.24mm、高度4.5±0.24mm；圆柱套管直径13.8±0.34</w:t>
      </w:r>
      <w:r>
        <w:rPr>
          <w:rStyle w:val="7"/>
          <w:rFonts w:hint="eastAsia" w:ascii="宋体" w:hAnsi="宋体" w:cs="宋体"/>
          <w:sz w:val="24"/>
          <w:szCs w:val="24"/>
          <w:lang w:val="en-US" w:eastAsia="zh-CN"/>
        </w:rPr>
        <w:t xml:space="preserve"> </w:t>
      </w:r>
      <w:r>
        <w:rPr>
          <w:rStyle w:val="7"/>
          <w:rFonts w:hint="eastAsia" w:ascii="宋体" w:hAnsi="宋体" w:eastAsia="宋体" w:cs="宋体"/>
          <w:sz w:val="24"/>
          <w:szCs w:val="24"/>
        </w:rPr>
        <w:t>mm，内直径10±0.32</w:t>
      </w:r>
      <w:r>
        <w:rPr>
          <w:rStyle w:val="7"/>
          <w:rFonts w:hint="eastAsia" w:ascii="宋体" w:hAnsi="宋体" w:cs="宋体"/>
          <w:sz w:val="24"/>
          <w:szCs w:val="24"/>
          <w:lang w:val="en-US" w:eastAsia="zh-CN"/>
        </w:rPr>
        <w:t xml:space="preserve"> </w:t>
      </w:r>
      <w:r>
        <w:rPr>
          <w:rStyle w:val="7"/>
          <w:rFonts w:hint="eastAsia" w:ascii="宋体" w:hAnsi="宋体" w:eastAsia="宋体" w:cs="宋体"/>
          <w:sz w:val="24"/>
          <w:szCs w:val="24"/>
        </w:rPr>
        <w:t>mm，高度11±0.32mm。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 xml:space="preserve">3.羊耳标：半圆弧的长方形、橙色 </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3.1主标耳标面为圆形，直径30±0.59 mm， 中央孔外口直径6±0.25mm， 厚度2±0.29mm。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3.2 耳标颈为表面光滑的圆台体，圆台底外直径6±0.25 mm、内孔直径3±0.19mm，圆台顶外直径4.5±0.23mm、内孔直径2±0.19，高度13±0.33mm。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3.3耳标头为密封的圆锥体，锥底直径7.5</w:t>
      </w:r>
      <w:r>
        <w:rPr>
          <w:rStyle w:val="7"/>
          <w:rFonts w:hint="eastAsia" w:ascii="宋体" w:hAnsi="宋体" w:eastAsia="宋体" w:cs="宋体"/>
          <w:sz w:val="24"/>
          <w:szCs w:val="24"/>
          <w:vertAlign w:val="superscript"/>
        </w:rPr>
        <w:t>+0.1</w:t>
      </w:r>
      <w:r>
        <w:rPr>
          <w:rStyle w:val="7"/>
          <w:rFonts w:hint="eastAsia" w:ascii="宋体" w:hAnsi="宋体" w:eastAsia="宋体" w:cs="宋体"/>
          <w:sz w:val="24"/>
          <w:szCs w:val="24"/>
          <w:vertAlign w:val="subscript"/>
        </w:rPr>
        <w:t>-0.28</w:t>
      </w:r>
      <w:r>
        <w:rPr>
          <w:rStyle w:val="7"/>
          <w:rFonts w:hint="eastAsia" w:ascii="宋体" w:hAnsi="宋体" w:eastAsia="宋体" w:cs="宋体"/>
          <w:sz w:val="24"/>
          <w:szCs w:val="24"/>
        </w:rPr>
        <w:t>mm、高度8±0.30mm， 锥顶实体高度4±0.22mm。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3.4辅标耳标面为带半圆弧的长方形，长45±0.62mm、宽17±0.23mm，厚度2±0.29mm。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3.5 耳标锁扣位于长方形一边， 由锁芯和圆柱套管组成，锁芯一为圆台体倒喇叭立体形状，锁芯的外孔直径8.6±0.30mm、 内孔直径5±0.24mm、高度4.5±0.24mm；圆柱套管直径13.8±0.34</w:t>
      </w:r>
      <w:r>
        <w:rPr>
          <w:rStyle w:val="7"/>
          <w:rFonts w:hint="eastAsia" w:ascii="宋体" w:hAnsi="宋体" w:cs="宋体"/>
          <w:sz w:val="24"/>
          <w:szCs w:val="24"/>
          <w:lang w:val="en-US" w:eastAsia="zh-CN"/>
        </w:rPr>
        <w:t xml:space="preserve"> </w:t>
      </w:r>
      <w:r>
        <w:rPr>
          <w:rStyle w:val="7"/>
          <w:rFonts w:hint="eastAsia" w:ascii="宋体" w:hAnsi="宋体" w:eastAsia="宋体" w:cs="宋体"/>
          <w:sz w:val="24"/>
          <w:szCs w:val="24"/>
        </w:rPr>
        <w:t>mm，内直径10±0.32</w:t>
      </w:r>
      <w:r>
        <w:rPr>
          <w:rStyle w:val="7"/>
          <w:rFonts w:hint="eastAsia" w:ascii="宋体" w:hAnsi="宋体" w:cs="宋体"/>
          <w:sz w:val="24"/>
          <w:szCs w:val="24"/>
          <w:lang w:val="en-US" w:eastAsia="zh-CN"/>
        </w:rPr>
        <w:t xml:space="preserve"> </w:t>
      </w:r>
      <w:r>
        <w:rPr>
          <w:rStyle w:val="7"/>
          <w:rFonts w:hint="eastAsia" w:ascii="宋体" w:hAnsi="宋体" w:eastAsia="宋体" w:cs="宋体"/>
          <w:sz w:val="24"/>
          <w:szCs w:val="24"/>
        </w:rPr>
        <w:t>mm，高度11±0.32mm。</w:t>
      </w:r>
    </w:p>
    <w:p>
      <w:pPr>
        <w:spacing w:before="240" w:after="240"/>
        <w:rPr>
          <w:rStyle w:val="7"/>
          <w:rFonts w:hint="eastAsia" w:ascii="宋体" w:hAnsi="宋体" w:eastAsia="宋体" w:cs="宋体"/>
          <w:sz w:val="24"/>
          <w:szCs w:val="24"/>
        </w:rPr>
      </w:pPr>
      <w:r>
        <w:rPr>
          <w:rStyle w:val="7"/>
          <w:rFonts w:hint="eastAsia" w:ascii="宋体" w:hAnsi="宋体" w:eastAsia="宋体" w:cs="宋体"/>
          <w:b/>
          <w:bCs/>
          <w:sz w:val="24"/>
          <w:szCs w:val="24"/>
        </w:rPr>
        <w:t>★（二）牲畜耳标编码要求：</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耳标编码由激光刻制，猪耳标刻制在主标耳标面正面，排布为相邻直角两排，上排为主编码，右排为副编码。牛、羊耳标刻制在辅标耳标面正面，编码分上、下两排，上排为主编码，下排为副编码。专用条码由激光刻制在主、副编码中央。</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2.主编码由是县级行政区划代码， 主编码代表牲畜种类和产地。主编码字体为黑体四号体。</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3.副编码由8位字符构成以县为单位的连续编码代表，牲畜个体；字体为黑体四号体。</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4.耳标专用条码为农业农村部专用的二维码。</w:t>
      </w:r>
    </w:p>
    <w:p>
      <w:pPr>
        <w:spacing w:before="240" w:after="240"/>
        <w:rPr>
          <w:rStyle w:val="7"/>
          <w:rFonts w:hint="eastAsia" w:ascii="宋体" w:hAnsi="宋体" w:eastAsia="宋体" w:cs="宋体"/>
          <w:sz w:val="24"/>
          <w:szCs w:val="24"/>
        </w:rPr>
      </w:pPr>
      <w:r>
        <w:rPr>
          <w:rStyle w:val="7"/>
          <w:rFonts w:hint="eastAsia" w:ascii="宋体" w:hAnsi="宋体" w:eastAsia="宋体" w:cs="宋体"/>
          <w:b/>
          <w:bCs/>
          <w:sz w:val="24"/>
          <w:szCs w:val="24"/>
        </w:rPr>
        <w:t>★（三）牲畜耳标质量基本要求</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（1）原材料</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 xml:space="preserve">①牲畜耳标原材料采用无毒、无异味、无刺激、无污染的塑胶材料制造。再生塑料不得作为制造牲畜耳标的原材料。 </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原材料按照使用牲畜范围不同分为： 聚乙烯、聚酯型聚氨酯、 聚醚型聚氨酯等。</w:t>
      </w:r>
      <w:bookmarkStart w:id="0" w:name="_GoBack"/>
      <w:bookmarkEnd w:id="0"/>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（2）耳标外观</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表面光洁，边缘光滑，色泽均匀，各部位规格符合技术规范规定。</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（3）使用寿命</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 xml:space="preserve">聚乙烯材质牲畜耳标寿命要求2年以上，聚酯型聚氨酯材质牲畜耳标寿命要求2年以上，聚醚型聚氨酯材质牲畜耳标寿命要求5年以上。 </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（4）字迹附着力</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耳标编码用激光方式刻录，字迹应均匀透入耳标内部。字迹清晰，在自然环境中不褪色。牲畜耳标的激光打码的颜色深度达到潘通色卡色号为：BLACK C.激光打标印迹均应均匀渗透入耳标表面内部，激光打印深度应不小于0.15mm。</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(5）强度</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①结合力</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分体耳标主标和辅标结合牢固，脱落力大于200N。</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②主标抗拉力</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主标单体整体拉伸时，耳标头和耳标正面脱离的断裂力大于250N。</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（6）环境要求</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耳标及耳标钳均应在-45℃~50℃温度范围内保持使用性能，不应出现因质量原因的脱离、变形、折裂现象。正常使用时， 钳压不破碎。 </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（7）记录信息的可靠程度</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 xml:space="preserve">耳标经长期使用在室外自然光照射下字迹应保持清晰不脱落。使用期内耳标记录信息受酸、碱、洗涤剂浸擦应不被腐蚀、不变形、不脱色、 字迹不脱落。 </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（8）工艺要求</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 xml:space="preserve">耳标不应出现缺料、溢料、塌坑、冷料、气泡、 变形、分层等工艺缺陷。 </w:t>
      </w:r>
    </w:p>
    <w:p>
      <w:pPr>
        <w:spacing w:before="240" w:after="240"/>
        <w:rPr>
          <w:rStyle w:val="7"/>
          <w:rFonts w:hint="eastAsia" w:ascii="宋体" w:hAnsi="宋体" w:eastAsia="宋体" w:cs="宋体"/>
          <w:sz w:val="24"/>
          <w:szCs w:val="24"/>
        </w:rPr>
      </w:pPr>
      <w:r>
        <w:rPr>
          <w:rStyle w:val="7"/>
          <w:rFonts w:hint="eastAsia" w:ascii="宋体" w:hAnsi="宋体" w:eastAsia="宋体" w:cs="宋体"/>
          <w:b/>
          <w:bCs/>
          <w:sz w:val="24"/>
          <w:szCs w:val="24"/>
        </w:rPr>
        <w:t xml:space="preserve">（四） 牲畜耳标包装要求 </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产品包装符合NY 534－2002规定。包装箱、包装袋表面须打印农业部规定的二维码、耳标数量、编码起止号和生产企业名称及地址等其他必要的信息。本次招标小包装每袋20个包装箱及包装，袋内标识号码须连续，不得缺号，掉号。</w:t>
      </w:r>
    </w:p>
    <w:p>
      <w:pPr>
        <w:spacing w:before="240" w:after="240"/>
        <w:rPr>
          <w:rStyle w:val="7"/>
          <w:rFonts w:hint="eastAsia" w:ascii="宋体" w:hAnsi="宋体" w:eastAsia="宋体" w:cs="宋体"/>
          <w:sz w:val="24"/>
          <w:szCs w:val="24"/>
        </w:rPr>
      </w:pPr>
      <w:r>
        <w:rPr>
          <w:rStyle w:val="7"/>
          <w:rFonts w:hint="eastAsia" w:ascii="宋体" w:hAnsi="宋体" w:eastAsia="宋体" w:cs="宋体"/>
          <w:b/>
          <w:bCs/>
          <w:sz w:val="24"/>
          <w:szCs w:val="24"/>
        </w:rPr>
        <w:t>三、样品要求。</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本次招标须提供样品，样品由投标人分别从全国范围内中标的生产任务中抽取（无中标任务的提供测试标），每个投标人抽取120套×3。（本项目规定的开标时间前，由投标人在开标地点将规定的样品提交给代理公司工作人员并办理交接手续）。</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2.每种耳标提供120套样品（其中：3x20套一个包装用于送检，3x100套一个包装用于现场随机识读检测）。</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3.每位投标人还须提供小包装袋、大包装箱各3个，其上粘贴的二维码也进行现场识读。</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4.配套耳标钳、卸标钳各提供2把样品，耳标钳针提供10根样品，样品由采购人保存作为投标人中标供货时的验收作样本。</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★5.投标人必须书面承诺所提供的样品与供应的实际货物完全一致。</w:t>
      </w:r>
    </w:p>
    <w:p>
      <w:pPr>
        <w:spacing w:before="240" w:after="240"/>
        <w:rPr>
          <w:rStyle w:val="7"/>
          <w:rFonts w:hint="eastAsia" w:ascii="宋体" w:hAnsi="宋体" w:eastAsia="宋体" w:cs="宋体"/>
          <w:sz w:val="24"/>
          <w:szCs w:val="24"/>
        </w:rPr>
      </w:pPr>
      <w:r>
        <w:rPr>
          <w:rStyle w:val="7"/>
          <w:rFonts w:hint="eastAsia" w:ascii="宋体" w:hAnsi="宋体" w:eastAsia="宋体" w:cs="宋体"/>
          <w:b/>
          <w:bCs/>
          <w:sz w:val="24"/>
          <w:szCs w:val="24"/>
        </w:rPr>
        <w:t>送样须知：</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1.基本要求：</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1.1供应商的样品制作、搬运、安装、拆除等相关费用由供应商承担。供应 商须自备样品封样的纸箱和封箱带等所需物品。</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1.2样品作为投标（响应）文件的组成部分，若无特殊要求，于投标截止时间前送达开标地点，否则不予接收。</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1.3送达样品时，必须提供样品清单，注明项目名称、招标编号、样品名称及数量、投标人名称，与投标样品摆放在一起。</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注：供应商若未按送样须知送样，给本次投标造成影响的由其自身承担</w:t>
      </w:r>
    </w:p>
    <w:p>
      <w:pPr>
        <w:spacing w:before="240" w:after="240"/>
        <w:rPr>
          <w:rStyle w:val="7"/>
          <w:rFonts w:hint="eastAsia" w:ascii="宋体" w:hAnsi="宋体" w:eastAsia="宋体" w:cs="宋体"/>
          <w:sz w:val="24"/>
          <w:szCs w:val="24"/>
        </w:rPr>
      </w:pPr>
      <w:r>
        <w:rPr>
          <w:rStyle w:val="7"/>
          <w:rFonts w:hint="eastAsia" w:ascii="宋体" w:hAnsi="宋体" w:eastAsia="宋体" w:cs="宋体"/>
          <w:b/>
          <w:bCs/>
          <w:sz w:val="24"/>
          <w:szCs w:val="24"/>
        </w:rPr>
        <w:t>注：1.以上打★号的为本次招标项目的实质性要求，投标人必须满足，否则作无效投标处理。</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四、</w:t>
      </w:r>
      <w:r>
        <w:rPr>
          <w:rStyle w:val="7"/>
          <w:rFonts w:hint="eastAsia" w:ascii="宋体" w:hAnsi="宋体" w:eastAsia="宋体" w:cs="宋体"/>
          <w:b/>
          <w:bCs/>
          <w:sz w:val="24"/>
          <w:szCs w:val="24"/>
        </w:rPr>
        <w:t>商务要求：</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1.交货期：合同签订后50日内完成供货。</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2.交货地点：采购人指定地点</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3.付款方式：合同约定。</w:t>
      </w:r>
    </w:p>
    <w:p>
      <w:pPr>
        <w:pStyle w:val="3"/>
        <w:keepNext w:val="0"/>
        <w:spacing w:before="281" w:after="281"/>
        <w:outlineLvl w:val="9"/>
        <w:rPr>
          <w:rStyle w:val="7"/>
          <w:rFonts w:hint="eastAsia" w:ascii="宋体" w:hAnsi="宋体" w:eastAsia="宋体" w:cs="宋体"/>
          <w:b/>
          <w:bCs/>
          <w:sz w:val="24"/>
          <w:szCs w:val="24"/>
        </w:rPr>
      </w:pPr>
      <w:r>
        <w:rPr>
          <w:rStyle w:val="7"/>
          <w:rFonts w:hint="eastAsia" w:ascii="宋体" w:hAnsi="宋体" w:eastAsia="宋体" w:cs="宋体"/>
          <w:sz w:val="24"/>
          <w:szCs w:val="24"/>
        </w:rPr>
        <w:t>五、售后服务要求：</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1.质保期：二年，自本项目验收合格之日起开始计算。</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2.供货期及质保期均属于免费服务期，该期限内的所有售后服务，包括原厂商服务和非原厂商服务；包括但不限于提供替代品、延展性服务等所产生的费用均由投标人承担。</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3.本项目所有部件应保证齐备充足供应，若因产品升级更新等原因不能保障供应，投标人应承担采购人的损失。</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4.服务响应时间投标人在投标文件中必须明确承诺项目建设期间及质保期内的售后服务响应时间要求：提供7×24小时电话或电子邮件服务，接到用户通知后1小时内作出明确响应和安排，2小时内做出故障诊断报告。如需现场服务的，具有解决故障能力的项目管理人员应在8小时内到达现场；接到用户通知之时24小时内解决故障问题。</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 xml:space="preserve">5.按照用户要求的数量、交货日期、地点按期交付产品。 </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6.及时跟踪发货和运输过程,确保产品准确无误交付给用户。</w:t>
      </w:r>
    </w:p>
    <w:p>
      <w:pPr>
        <w:spacing w:before="240" w:after="240"/>
        <w:rPr>
          <w:rStyle w:val="7"/>
          <w:rFonts w:hint="eastAsia" w:ascii="宋体" w:hAnsi="宋体" w:eastAsia="宋体" w:cs="宋体"/>
          <w:sz w:val="24"/>
          <w:szCs w:val="24"/>
        </w:rPr>
      </w:pPr>
      <w:r>
        <w:rPr>
          <w:rStyle w:val="7"/>
          <w:rFonts w:hint="eastAsia" w:ascii="宋体" w:hAnsi="宋体" w:eastAsia="宋体" w:cs="宋体"/>
          <w:sz w:val="24"/>
          <w:szCs w:val="24"/>
        </w:rPr>
        <w:t>7.供应商承担发货、运输过程中的货物损坏、遗失、错发等责任。</w:t>
      </w:r>
    </w:p>
    <w:p>
      <w:pPr>
        <w:spacing w:before="240" w:after="240"/>
      </w:pPr>
      <w:r>
        <w:rPr>
          <w:rStyle w:val="7"/>
          <w:rFonts w:hint="eastAsia" w:ascii="宋体" w:hAnsi="宋体" w:eastAsia="宋体" w:cs="宋体"/>
          <w:sz w:val="24"/>
          <w:szCs w:val="24"/>
        </w:rPr>
        <w:t>8.如产生质量纠纷，用户与供应商会同有关管理部门组成调查组查清原因，经权威部门确认是由产品质量原因造成的，供应商应承担责任，并赔偿相应的经济损失。</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eastAsia" w:hAnsi="宋体" w:cs="宋体"/>
        <w:sz w:val="20"/>
        <w:szCs w:val="21"/>
      </w:rPr>
    </w:pPr>
    <w:r>
      <w:drawing>
        <wp:anchor distT="0" distB="0" distL="114300" distR="114300" simplePos="0" relativeHeight="251659264" behindDoc="1" locked="0" layoutInCell="1" allowOverlap="1">
          <wp:simplePos x="0" y="0"/>
          <wp:positionH relativeFrom="column">
            <wp:posOffset>-76200</wp:posOffset>
          </wp:positionH>
          <wp:positionV relativeFrom="paragraph">
            <wp:posOffset>-266700</wp:posOffset>
          </wp:positionV>
          <wp:extent cx="756920" cy="535305"/>
          <wp:effectExtent l="0" t="0" r="5080" b="17145"/>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756920" cy="535305"/>
                  </a:xfrm>
                  <a:prstGeom prst="rect">
                    <a:avLst/>
                  </a:prstGeom>
                  <a:noFill/>
                  <a:ln>
                    <a:noFill/>
                  </a:ln>
                </pic:spPr>
              </pic:pic>
            </a:graphicData>
          </a:graphic>
        </wp:anchor>
      </w:drawing>
    </w:r>
    <w:r>
      <w:rPr>
        <w:rFonts w:hint="eastAsia" w:ascii="宋体" w:hAnsi="宋体" w:cs="宋体"/>
        <w:b/>
        <w:sz w:val="22"/>
        <w:szCs w:val="22"/>
        <w:u w:val="single"/>
      </w:rPr>
      <w:t xml:space="preserve">            四川协盈</w:t>
    </w:r>
    <w:r>
      <w:rPr>
        <w:rFonts w:hint="eastAsia" w:ascii="宋体" w:hAnsi="宋体" w:cs="宋体"/>
        <w:b/>
        <w:sz w:val="22"/>
        <w:szCs w:val="22"/>
        <w:u w:val="single"/>
        <w:lang w:val="en-US" w:eastAsia="zh-CN"/>
      </w:rPr>
      <w:t>工程</w:t>
    </w:r>
    <w:r>
      <w:rPr>
        <w:rFonts w:hint="eastAsia" w:ascii="宋体" w:hAnsi="宋体" w:cs="宋体"/>
        <w:b/>
        <w:sz w:val="22"/>
        <w:szCs w:val="22"/>
        <w:u w:val="single"/>
      </w:rPr>
      <w:t xml:space="preserve">项目管理有限公司      </w:t>
    </w:r>
    <w:r>
      <w:rPr>
        <w:rFonts w:hint="eastAsia" w:hAnsi="宋体" w:cs="宋体"/>
        <w:b/>
        <w:sz w:val="22"/>
        <w:szCs w:val="22"/>
        <w:u w:val="single"/>
      </w:rPr>
      <w:t xml:space="preserve"> </w:t>
    </w:r>
    <w:r>
      <w:rPr>
        <w:rFonts w:hAnsi="宋体" w:cs="宋体"/>
        <w:b/>
        <w:sz w:val="22"/>
        <w:szCs w:val="22"/>
        <w:u w:val="single"/>
      </w:rPr>
      <w:t>S</w:t>
    </w:r>
    <w:r>
      <w:rPr>
        <w:rFonts w:hint="eastAsia" w:hAnsi="宋体" w:cs="宋体"/>
        <w:b/>
        <w:sz w:val="22"/>
        <w:szCs w:val="22"/>
        <w:u w:val="single"/>
      </w:rPr>
      <w:t>ichuan Share-win Tendering Co.，Ltd</w:t>
    </w:r>
  </w:p>
  <w:p>
    <w:pPr>
      <w:pStyle w:val="5"/>
      <w:pBdr>
        <w:bottom w:val="none" w:color="auto" w:sz="0" w:space="1"/>
      </w:pBdr>
      <w:tabs>
        <w:tab w:val="left" w:pos="1508"/>
      </w:tabs>
      <w:jc w:val="left"/>
      <w:rPr>
        <w:rFonts w:hint="eastAsia"/>
        <w:sz w:val="13"/>
        <w:szCs w:val="13"/>
      </w:rPr>
    </w:pPr>
    <w:r>
      <w:rPr>
        <w:rFonts w:hint="eastAsia"/>
        <w:sz w:val="13"/>
        <w:szCs w:val="13"/>
      </w:rPr>
      <w:tab/>
    </w:r>
    <w:r>
      <w:rPr>
        <w:rFonts w:hint="eastAsia"/>
        <w:sz w:val="13"/>
        <w:szCs w:val="13"/>
      </w:rPr>
      <w:tab/>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63E31"/>
    <w:rsid w:val="48463E31"/>
    <w:rsid w:val="5ED2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34"/>
      <w:szCs w:val="34"/>
      <w:lang w:val="en-US" w:eastAsia="zh-CN" w:bidi="ar-SA"/>
    </w:rPr>
  </w:style>
  <w:style w:type="paragraph" w:styleId="3">
    <w:name w:val="heading 3"/>
    <w:basedOn w:val="1"/>
    <w:next w:val="1"/>
    <w:qFormat/>
    <w:uiPriority w:val="0"/>
    <w:pPr>
      <w:keepNext/>
      <w:keepLines/>
      <w:spacing w:before="260" w:after="260" w:line="415" w:lineRule="auto"/>
      <w:outlineLvl w:val="2"/>
    </w:pPr>
    <w:rPr>
      <w:b/>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 Spacing1"/>
    <w:qFormat/>
    <w:uiPriority w:val="0"/>
    <w:pPr>
      <w:widowControl w:val="0"/>
      <w:jc w:val="both"/>
    </w:pPr>
    <w:rPr>
      <w:rFonts w:ascii="Calibri" w:hAnsi="Calibri" w:eastAsia="宋体" w:cs="黑体"/>
      <w:kern w:val="2"/>
      <w:sz w:val="21"/>
      <w:szCs w:val="22"/>
      <w:lang w:val="en-US" w:eastAsia="zh-CN" w:bidi="ar-SA"/>
    </w:rPr>
  </w:style>
  <w:style w:type="paragraph" w:styleId="4">
    <w:name w:val="footer"/>
    <w:basedOn w:val="1"/>
    <w:qFormat/>
    <w:uiPriority w:val="0"/>
    <w:pPr>
      <w:widowControl/>
      <w:tabs>
        <w:tab w:val="center" w:pos="4153"/>
        <w:tab w:val="right" w:pos="8306"/>
      </w:tabs>
      <w:adjustRightInd/>
      <w:snapToGrid w:val="0"/>
      <w:spacing w:line="240" w:lineRule="auto"/>
      <w:jc w:val="left"/>
    </w:pPr>
    <w:rPr>
      <w:sz w:val="18"/>
      <w:szCs w:val="20"/>
    </w:rPr>
  </w:style>
  <w:style w:type="paragraph" w:styleId="5">
    <w:name w:val="header"/>
    <w:basedOn w:val="1"/>
    <w:qFormat/>
    <w:uiPriority w:val="0"/>
    <w:pPr>
      <w:widowControl/>
      <w:tabs>
        <w:tab w:val="center" w:pos="4153"/>
        <w:tab w:val="right" w:pos="8306"/>
      </w:tabs>
      <w:adjustRightInd/>
      <w:snapToGrid w:val="0"/>
      <w:spacing w:line="240" w:lineRule="auto"/>
    </w:pPr>
    <w:rPr>
      <w:sz w:val="18"/>
      <w:szCs w:val="20"/>
    </w:rPr>
  </w:style>
  <w:style w:type="paragraph" w:customStyle="1" w:styleId="8">
    <w:name w:val=" Char Char3 Char Char"/>
    <w:basedOn w:val="1"/>
    <w:qFormat/>
    <w:uiPriority w:val="0"/>
    <w:pPr>
      <w:widowControl/>
      <w:adjustRightInd/>
      <w:spacing w:after="160" w:line="240" w:lineRule="exact"/>
      <w:jc w:val="left"/>
      <w:textAlignment w:val="auto"/>
    </w:pPr>
    <w:rPr>
      <w:kern w:val="2"/>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2972</Words>
  <Characters>3438</Characters>
  <Lines>0</Lines>
  <Paragraphs>0</Paragraphs>
  <TotalTime>19</TotalTime>
  <ScaleCrop>false</ScaleCrop>
  <LinksUpToDate>false</LinksUpToDate>
  <CharactersWithSpaces>3502</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2021-09-07T07:37:00Z</dcterms:created>
  <dc:creator>blessedness</dc:creator>
  <cp:lastModifiedBy>blessedness</cp:lastModifiedBy>
  <dcterms:modified xsi:type="dcterms:W3CDTF">2021-09-07T10:07:58Z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1F77003AE9B24A8F854E6842891C0B88</vt:lpwstr>
  </property>
</Properties>
</file>