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60" w:lineRule="auto"/>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bCs/>
          <w:color w:val="000000"/>
          <w:spacing w:val="-17"/>
          <w:sz w:val="36"/>
          <w:szCs w:val="36"/>
          <w:lang w:val="en-US" w:eastAsia="zh-CN"/>
        </w:rPr>
        <w:t xml:space="preserve">  </w:t>
      </w:r>
      <w:bookmarkStart w:id="0" w:name="_GoBack"/>
      <w:bookmarkEnd w:id="0"/>
      <w:r>
        <w:rPr>
          <w:rFonts w:hint="eastAsia" w:ascii="仿宋_GB2312" w:hAnsi="仿宋_GB2312" w:eastAsia="仿宋_GB2312" w:cs="仿宋_GB2312"/>
          <w:b/>
          <w:bCs/>
          <w:color w:val="000000"/>
          <w:spacing w:val="-17"/>
          <w:sz w:val="36"/>
          <w:szCs w:val="36"/>
        </w:rPr>
        <w:t xml:space="preserve">  采购项目技术、服务、采购合同内容条款、质量及其他商务要求</w:t>
      </w:r>
    </w:p>
    <w:p>
      <w:pPr>
        <w:spacing w:after="50" w:line="360" w:lineRule="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一、项目技术参数要求</w:t>
      </w:r>
    </w:p>
    <w:tbl>
      <w:tblPr>
        <w:tblStyle w:val="5"/>
        <w:tblW w:w="9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904"/>
        <w:gridCol w:w="810"/>
        <w:gridCol w:w="3999"/>
        <w:gridCol w:w="750"/>
        <w:gridCol w:w="68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7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名称</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参数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门禁系统</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智能门禁终端</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（双目型）</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1、操作系统：采用嵌入式Linux操作系统；</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2、申请开门：终端支持人员信息验证后向勤务值班室发起远程申请开门；</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3、门状态检测：支持接入门磁感应门状态并上传值班室和平台；</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4、验证方式：支持生物指纹识别验证、人脸识别验和多种组合验证方式；</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5、远程开门：支持勤务值班人员通过平台/主机软件进行远程开门；</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6、视频监控：终端支持高清摄像头，支持日夜模式切换及红外补光，生物活体人脸识别认证，平台软件可实时查看终端视频画面；</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7、监视监听：主机可对门禁终端音视频轮询监视功能；</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8、语音对讲：支持一键拨打值班室/哨位进行实时可视对讲功能，值班室呼叫终端自动接听，支持标准sip协议；</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9、勤务签到：支持通过人员信息验证实现勤务签到功能；</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10、信息显示：7寸触摸液晶屏，支持日期、时间、设备操作状态、标语显示、人员验证信息显示；</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11、红外补光：终端视频监控支持夜视红外补光功能，方便光线较暗时候进行人脸识别；</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12、门禁报警：支持长时间门未关妥报警，门非正常流程开启报警和防拆报警功能，报警信息实时上报平台；</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13、无响应转移：终端发起开门申请，当主机不在线自动将开门申请转移到平台；</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14、接口功能：支持门锁电源输出、门磁检测、门锁控制和出门按钮连接接口；</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15、图像抓拍：支持每次开门申请抓拍图片并上传到平台；</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16、运维管理：终端支持网页登陆和配置管理和平台软件统一运维管理；</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17、终端自带1个DC12V供电接口，1个RJ45网络接口、1路门锁供电接口、1路出门按钮接口、1路门锁控制接口和1路门磁检测接口；</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18、支持IP53防护等级；</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19、壁挂式安装。</w:t>
            </w:r>
          </w:p>
          <w:p>
            <w:pPr>
              <w:keepNext w:val="0"/>
              <w:keepLines w:val="0"/>
              <w:widowControl/>
              <w:suppressLineNumbers w:val="0"/>
              <w:jc w:val="left"/>
              <w:textAlignment w:val="top"/>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★20、设备须接入执勤安保信息系统，实现与值班室智能勤务调度主机远程申请开门。(提供供应商承诺函并加盖鲜章)</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值班室、备勤室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岗哨门禁终端</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1、6mm铝面板，壁挂式安装，防暴、防水溅，抗击打；</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 内置130万像素高清摄像头，支持日夜模式切换及红外补光，支持双向视频通话，采用H.264编码；</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3、带“值班室”和“哨位”按钮，可对指定的值班室或哨位进行一键呼叫、申请开门操作；</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4、内置5W扬声器和对讲咪头，可实现全双工通话对讲、进行免提通话和接收广播；</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5、支持接入勤务指挥管控平台进行统一管理；</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6、兼容标准SIP协议，可单独接入VOIP电话系统（主流IP-PBX) ；</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7、支持1路本地音频输入、输出；</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8、支持 1路电控锁开关量控制、1路出门开关控制和1路门磁状态检测；</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9、支持1路DC12V电源输出给电插锁供电 ；</w:t>
            </w:r>
          </w:p>
          <w:p>
            <w:pPr>
              <w:adjustRightInd w:val="0"/>
              <w:snapToGrid w:val="0"/>
              <w:spacing w:line="360" w:lineRule="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▲10、内置防拆报警装置，可动态监测设备的拆合状态并进行响应。（需提供第三方检测机构出具的检验报告证明）</w:t>
            </w:r>
          </w:p>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★11、设备须接入执勤安保信息系统，实现与值班室智能勤务调度主机远程申请开门。(提供供应商承诺函并加盖鲜章)</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上勤通道1、监墙哨4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勤务门禁锁</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1、不锈钢锁芯可承受破坏剪力达800kg以上；</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2、内含门开启或关闭状态侦测输出接点防残磁设计，选用进口纯铁材料；</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3、支持自动检测门状态实现自动上锁；</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3、支持安装于左开门、右开门、内开门或外开门的安装方式；</w:t>
            </w:r>
          </w:p>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4、内含光耦合开门输入按钮接点，如9秒内未开门亦会再自动上锁。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磁力锁电源</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磁力锁供电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勤务闭门器</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1、自动液压式缓冲；</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2、材质：太空铝；</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3、最大门宽：1100mm；</w:t>
            </w:r>
          </w:p>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4、最大门重80KG。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勤务门磁</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1、感应距离：25-35mm；</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2、常闭型门磁，实时反馈门状态信号；</w:t>
            </w:r>
          </w:p>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3、金属外观。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出门按钮</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标准X86盒子大小， 点动式开关。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防盗门</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甲级防盗门；钢板厚度≥1mm；门厚度≥90mm；含门框尺寸：1500mm*2000mm；单门洞双开方式安装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枪械离岗监测系统</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枪械离岗检测主机</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1、采用最新UWB技术，抗干扰强；</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2、唯一标识：每个岗亭安装基站、枪标，全网唯一ID标识；</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3、抗干扰性能强：具有较大的处理增益，接收时将信号能量还原出来，在解扩过程中产生扩频增益；</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4、报警联动：同一区域实现岗亭与枪标、岗亭与岗亭之间报警联动；</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 离位报警：一旦枪标离开合法区域，立刻触发基站声光报警器及平台报警；</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6、状态异常报警：系统依据枪支离岗报警的逻辑模式，提供枪支标签状态异常报警功能，如果系统在设定时间内收取不到设备的工作信息则进行异常状态报警，提醒相关人员及时处理突发情况；</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7、系统管理：枪标、基站管理，报警信息的历史查询功能等；</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8、防拆报警：当岗哨标签被意外拆卸或破坏时，会发出被拆卸（破坏）的信号反馈到管理系统软件，提示管理人员及时处理；</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9、低电压报警：当岗哨标签电池电量不足时，系统会提示管理人员对电池进行更换；</w:t>
            </w:r>
          </w:p>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★10、设备须接入执勤安保信息系统平台，实现联动报警。(提供供应商承诺函并加盖鲜章)</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监墙哨2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枪械离岗电子标签</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1、唯一标识：每个岗亭安装基站、枪标，全网唯一ID标识；</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2、采用最新UWB技术，抗干扰强；</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3、离位报警：一旦枪标离开合法区域，立刻触发平台报警；</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4、低压报警：一旦枪标出现欠压情况，立刻触发平台报警；</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5、防拆报警：一旦枪标出现非法拆卸情况，立刻触发平台报警；</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6、异常报警：一旦枪标出现信号丢失，立刻触发平台报警；</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 电子标签续航能力： ＞180天；</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 报警信息存储时间： ＞100；</w:t>
            </w:r>
          </w:p>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9、支持03式95式步枪。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90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制高点监控增补</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智能球型摄像机</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1、传感器类型：1/2.8＂ progressive scan CMOS，焦距： 4.8 mm~110 mm，23倍光学变倍 ，视场角： 57.6°~2.7°（广角～望远）；</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▲2、支持最低照度可达彩色0.001Lux，黑白0.0005Lux（提供公安部检验报告证明）</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3、红外照射距离： 100 m，水平范围： 360°，垂直范围： -15°~90°（自动翻转），水平速度： 水平键控速度：0.1°~80°/s，速度可设；水平预置点速度：80°/s，垂直速度： 垂直键控速度：0.1°~80°/s，速度可设；垂直预置点速度：80°/s；</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4、主码流帧率分辨率： 50 Hz：25 fps（1920 × 1080）；60 Hz：30 fps（1920 × 1080），视频压缩标准： H.265，H.264，MJPEG，网络存储： NAS（NFS，SMB/CIFS）；</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▲5、支持300个预置位，可按照所设置的预置位完成不小于8条巡航路径，支持不小于4条模式路径设置，支持预置位视频冻结功能；可实现RS485接口优先或RJ45网络接口优先控制功能（提供公安部检验报告证明）；</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▲6、动态范围不小于106dB，照度适应范围不小于135dB，宽动态能力综合得分不小于130（提供公安部检验报告证明）；</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7、网络接口： RJ45网口，自适应10 M/100 M网络数据 ，SD卡扩展： 支持MicroSD（即TF卡）/MicroSDHC/MicroSDXC卡，最大支持256 GB，音频输入： 1路音频输入，音频输出： 1路音频输出；</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8、供电方式： DC：12 V，PoE+（802.3at），电源接口类型： 两线式，电流及功耗： 最大功耗：18 W（其中除雾加热1.6 W，补光灯9 W），工作温湿度： -30 ℃~65 ℃，湿度小于90%；</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▲9、信噪比≥60dB，网络延时不大于110ms，（提供公安部检验报告证明）；</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▲10、样机与客户端之间用150m五类非屏蔽网线直接连接，网络传输能力满足发送1500个数据包，重复测试3次，每次丢包数不大于1个（提供公安部检验报告证明）；</w:t>
            </w:r>
          </w:p>
          <w:p>
            <w:pPr>
              <w:keepNext w:val="0"/>
              <w:keepLines w:val="0"/>
              <w:widowControl/>
              <w:suppressLineNumbers w:val="0"/>
              <w:jc w:val="left"/>
              <w:textAlignment w:val="top"/>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11、防护： IP66级。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监墙高点1，监区高点1，对角安装对照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90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立杆</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定制型球机立杆，高度4.5米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90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地笼</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球机立杆底座预埋件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90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巡视通道照明系统</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室外防水灯</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低压≥15W，暖光白光可选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90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电源变压器</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220V转低压，400W</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90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低压配电箱</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含漏电保护开关、时控开关、继电器等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90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低压电源线</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2*2.5铜芯护套线，100米/圈</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圈</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9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线材辅材</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电源线</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1、规格：RVV2*1.0mm²；</w:t>
            </w:r>
          </w:p>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2、导体材质：纯铜；</w:t>
            </w:r>
          </w:p>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3、颜色：黑色。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防雨罩</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定制型门禁终端防雨罩</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网线</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超5类非屏蔽网线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PVC线管</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PVC20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500</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辅材</w:t>
            </w:r>
          </w:p>
        </w:tc>
        <w:tc>
          <w:tcPr>
            <w:tcW w:w="3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PVC接线盒、管卡、过线弹簧、防水胶、扎带、标签、胶带、线卡、接头、弯头、三通等；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9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安装调试及系统集成</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门锁改造</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铁门开孔、穿线、装锁人工。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墙面开槽恢复</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混凝土墙面开槽、恢复材料（水泥、砂石、防裂网）、人工、垃圾清运；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综合布线</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门禁施工、布线施工、电源施工；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9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安装调试</w:t>
            </w:r>
          </w:p>
        </w:tc>
        <w:tc>
          <w:tcPr>
            <w:tcW w:w="3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设备安装、系统调试联调；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r>
    </w:tbl>
    <w:p>
      <w:pPr>
        <w:pStyle w:val="2"/>
        <w:rPr>
          <w:rFonts w:hint="eastAsia"/>
          <w:color w:val="000000"/>
          <w:sz w:val="28"/>
          <w:szCs w:val="28"/>
        </w:rPr>
      </w:pPr>
    </w:p>
    <w:p>
      <w:pPr>
        <w:pStyle w:val="7"/>
        <w:numPr>
          <w:ilvl w:val="0"/>
          <w:numId w:val="0"/>
        </w:numP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rPr>
        <w:t>商务要求</w:t>
      </w:r>
    </w:p>
    <w:p>
      <w:pPr>
        <w:pStyle w:val="7"/>
        <w:widowControl w:val="0"/>
        <w:numPr>
          <w:ilvl w:val="0"/>
          <w:numId w:val="0"/>
        </w:numPr>
        <w:spacing w:line="360" w:lineRule="auto"/>
        <w:ind w:firstLine="280" w:firstLineChars="100"/>
        <w:jc w:val="both"/>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1.交货期：合同生效之日起30个日内完成供货。</w:t>
      </w:r>
    </w:p>
    <w:p>
      <w:pPr>
        <w:pStyle w:val="7"/>
        <w:widowControl w:val="0"/>
        <w:numPr>
          <w:ilvl w:val="0"/>
          <w:numId w:val="0"/>
        </w:numPr>
        <w:spacing w:line="360" w:lineRule="auto"/>
        <w:ind w:firstLine="280" w:firstLineChars="100"/>
        <w:jc w:val="both"/>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2.交货地点：采购人指定地点。</w:t>
      </w:r>
    </w:p>
    <w:p>
      <w:pPr>
        <w:pStyle w:val="7"/>
        <w:widowControl w:val="0"/>
        <w:numPr>
          <w:ilvl w:val="0"/>
          <w:numId w:val="0"/>
        </w:numPr>
        <w:spacing w:line="360" w:lineRule="auto"/>
        <w:ind w:firstLine="280" w:firstLineChars="100"/>
        <w:jc w:val="both"/>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rPr>
        <w:t>付款方法和条件：</w:t>
      </w:r>
      <w:r>
        <w:rPr>
          <w:rFonts w:hint="eastAsia" w:ascii="仿宋_GB2312" w:hAnsi="仿宋_GB2312" w:eastAsia="仿宋_GB2312" w:cs="仿宋_GB2312"/>
          <w:b w:val="0"/>
          <w:bCs w:val="0"/>
          <w:color w:val="000000"/>
          <w:sz w:val="28"/>
          <w:szCs w:val="28"/>
          <w:lang w:val="en-US" w:eastAsia="zh-CN"/>
        </w:rPr>
        <w:t>合同约定。</w:t>
      </w:r>
    </w:p>
    <w:p>
      <w:pPr>
        <w:pStyle w:val="7"/>
        <w:ind w:firstLine="0" w:firstLineChars="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三、售后服务及其他要求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1.质保要求：</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rPr>
        <w:t>年</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验收合格之日起），</w:t>
      </w:r>
      <w:r>
        <w:rPr>
          <w:rFonts w:hint="eastAsia" w:ascii="仿宋_GB2312" w:hAnsi="仿宋_GB2312" w:eastAsia="仿宋_GB2312" w:cs="仿宋_GB2312"/>
          <w:b w:val="0"/>
          <w:bCs w:val="0"/>
          <w:color w:val="000000"/>
          <w:sz w:val="28"/>
          <w:szCs w:val="28"/>
        </w:rPr>
        <w:t>质保期内供应商应免费负责设备维修、抢修及部分产品升级服务。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2.提供的技术及配套要求</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提供产品配套设备使用说明书、维护手册；</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3.安装调试及验收：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3.1供方负责设备安装、调试。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3.2货物到达生产现场后，供方接到采购人通知后5日内到达现场组织安装、调试，达到正常运行要求，保证采购人正常使用。所需的费用包括在</w:t>
      </w:r>
      <w:r>
        <w:rPr>
          <w:rFonts w:hint="eastAsia" w:ascii="仿宋_GB2312" w:hAnsi="仿宋_GB2312" w:eastAsia="仿宋_GB2312" w:cs="仿宋_GB2312"/>
          <w:b w:val="0"/>
          <w:bCs w:val="0"/>
          <w:color w:val="000000"/>
          <w:sz w:val="28"/>
          <w:szCs w:val="28"/>
          <w:lang w:val="en-US" w:eastAsia="zh-CN"/>
        </w:rPr>
        <w:t>响应</w:t>
      </w:r>
      <w:r>
        <w:rPr>
          <w:rFonts w:hint="eastAsia" w:ascii="仿宋_GB2312" w:hAnsi="仿宋_GB2312" w:eastAsia="仿宋_GB2312" w:cs="仿宋_GB2312"/>
          <w:b w:val="0"/>
          <w:bCs w:val="0"/>
          <w:color w:val="000000"/>
          <w:sz w:val="28"/>
          <w:szCs w:val="28"/>
        </w:rPr>
        <w:t>总价格中。</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3.3供方应就设备的安装、调试、操作、维修、保养等对需方维修技术人员进行培训。设备安装调试完毕后，供方应对需方操作人员进行操作和维护人员培训，直至需方的技术人员能独立操作，同时能完成一般常见故障的维修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3.4验收标准以</w:t>
      </w:r>
      <w:r>
        <w:rPr>
          <w:rFonts w:hint="eastAsia" w:ascii="仿宋_GB2312" w:hAnsi="仿宋_GB2312" w:eastAsia="仿宋_GB2312" w:cs="仿宋_GB2312"/>
          <w:b w:val="0"/>
          <w:bCs w:val="0"/>
          <w:color w:val="000000"/>
          <w:sz w:val="28"/>
          <w:szCs w:val="28"/>
          <w:lang w:val="en-US" w:eastAsia="zh-CN"/>
        </w:rPr>
        <w:t>谈判</w:t>
      </w:r>
      <w:r>
        <w:rPr>
          <w:rFonts w:hint="eastAsia" w:ascii="仿宋_GB2312" w:hAnsi="仿宋_GB2312" w:eastAsia="仿宋_GB2312" w:cs="仿宋_GB2312"/>
          <w:b w:val="0"/>
          <w:bCs w:val="0"/>
          <w:color w:val="000000"/>
          <w:sz w:val="28"/>
          <w:szCs w:val="28"/>
        </w:rPr>
        <w:t>文件技术参数及要求和相关行业标准为准。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4.售后服务：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4.1提供产品相关资料。</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4.2设备故障时，接到报障通知后，2小时内响应，不更换配件的12小时维修到位，需要更换配件维修48小时完成。</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4.3质保期后，供方应向需方提供及时的、优质的、价格优惠的技术服务和备件供应。</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4.4凡需升级软件的设备，供应商应在质保期内提供免费升级服务。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5.其他要求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5.1合同总价已包括货物设计、材料、制造、包装、运输、安装及调试、人员培训、配套辅材等验收检测合格交付使用之前及保修期内保修服务与备用物件等所有其他有关</w:t>
      </w:r>
      <w:r>
        <w:rPr>
          <w:rFonts w:hint="eastAsia" w:ascii="仿宋_GB2312" w:hAnsi="仿宋_GB2312" w:eastAsia="仿宋_GB2312" w:cs="仿宋_GB2312"/>
          <w:b w:val="0"/>
          <w:bCs w:val="0"/>
          <w:color w:val="000000"/>
          <w:sz w:val="28"/>
          <w:szCs w:val="28"/>
          <w:lang w:eastAsia="zh-CN"/>
        </w:rPr>
        <w:t>等各项</w:t>
      </w:r>
      <w:r>
        <w:rPr>
          <w:rFonts w:hint="eastAsia" w:ascii="仿宋_GB2312" w:hAnsi="仿宋_GB2312" w:eastAsia="仿宋_GB2312" w:cs="仿宋_GB2312"/>
          <w:b w:val="0"/>
          <w:bCs w:val="0"/>
          <w:color w:val="000000"/>
          <w:sz w:val="28"/>
          <w:szCs w:val="28"/>
        </w:rPr>
        <w:t>含税费用。甲方无须另向乙方支付其他任何费用。</w:t>
      </w:r>
    </w:p>
    <w:p>
      <w:pPr>
        <w:pStyle w:val="3"/>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280" w:firstLineChars="1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5.2</w:t>
      </w:r>
      <w:r>
        <w:rPr>
          <w:rFonts w:hint="eastAsia" w:ascii="仿宋_GB2312" w:hAnsi="仿宋_GB2312" w:eastAsia="仿宋_GB2312" w:cs="仿宋_GB2312"/>
          <w:b w:val="0"/>
          <w:bCs w:val="0"/>
          <w:color w:val="000000"/>
          <w:sz w:val="28"/>
          <w:szCs w:val="28"/>
          <w:lang w:val="en-US" w:eastAsia="zh-CN"/>
        </w:rPr>
        <w:t>响应</w:t>
      </w:r>
      <w:r>
        <w:rPr>
          <w:rFonts w:hint="eastAsia" w:ascii="仿宋_GB2312" w:hAnsi="仿宋_GB2312" w:eastAsia="仿宋_GB2312" w:cs="仿宋_GB2312"/>
          <w:b w:val="0"/>
          <w:bCs w:val="0"/>
          <w:color w:val="000000"/>
          <w:sz w:val="28"/>
          <w:szCs w:val="28"/>
        </w:rPr>
        <w:t>产品必须为全新未使用过的设备（包括配套设备及零部件），并且符合国家、行业规定的质量、规格和性能等要求。</w:t>
      </w:r>
    </w:p>
    <w:p>
      <w:pPr>
        <w:rPr>
          <w:rFonts w:hint="eastAsia"/>
          <w:color w:val="000000"/>
          <w:sz w:val="22"/>
          <w:szCs w:val="28"/>
        </w:rPr>
      </w:pPr>
    </w:p>
    <w:p>
      <w:pPr>
        <w:adjustRightInd w:val="0"/>
        <w:snapToGrid w:val="0"/>
        <w:spacing w:line="360" w:lineRule="auto"/>
        <w:rPr>
          <w:rFonts w:hint="eastAsia" w:ascii="仿宋_GB2312" w:hAnsi="仿宋_GB2312" w:eastAsia="仿宋_GB2312" w:cs="仿宋_GB2312"/>
          <w:b/>
          <w:bCs/>
          <w:color w:val="000000"/>
          <w:sz w:val="28"/>
          <w:szCs w:val="28"/>
        </w:rPr>
      </w:pPr>
    </w:p>
    <w:p>
      <w:pPr>
        <w:adjustRightInd w:val="0"/>
        <w:snapToGrid w:val="0"/>
        <w:spacing w:line="360" w:lineRule="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注：以上带“★”号条款为实质性要求，不满足</w:t>
      </w:r>
      <w:r>
        <w:rPr>
          <w:rFonts w:hint="eastAsia" w:ascii="仿宋_GB2312" w:hAnsi="仿宋_GB2312" w:eastAsia="仿宋_GB2312" w:cs="仿宋_GB2312"/>
          <w:b/>
          <w:bCs/>
          <w:color w:val="000000"/>
          <w:sz w:val="28"/>
          <w:szCs w:val="28"/>
          <w:lang w:val="en-US" w:eastAsia="zh-CN"/>
        </w:rPr>
        <w:t>视</w:t>
      </w:r>
      <w:r>
        <w:rPr>
          <w:rFonts w:hint="eastAsia" w:ascii="仿宋_GB2312" w:hAnsi="仿宋_GB2312" w:eastAsia="仿宋_GB2312" w:cs="仿宋_GB2312"/>
          <w:b/>
          <w:bCs/>
          <w:color w:val="000000"/>
          <w:sz w:val="28"/>
          <w:szCs w:val="28"/>
        </w:rPr>
        <w:t>为无效响应</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合同签订前，供应商须提供投标产品测试满足功能要求；</w:t>
      </w:r>
      <w:r>
        <w:rPr>
          <w:rFonts w:hint="eastAsia" w:ascii="仿宋_GB2312" w:hAnsi="仿宋_GB2312" w:eastAsia="仿宋_GB2312" w:cs="仿宋_GB2312"/>
          <w:b/>
          <w:bCs/>
          <w:color w:val="000000"/>
          <w:sz w:val="28"/>
          <w:szCs w:val="28"/>
        </w:rPr>
        <w:t>带“</w:t>
      </w:r>
      <w:r>
        <w:rPr>
          <w:rFonts w:hint="eastAsia" w:ascii="仿宋_GB2312" w:hAnsi="仿宋_GB2312" w:eastAsia="仿宋_GB2312" w:cs="仿宋_GB2312"/>
          <w:b/>
          <w:bCs/>
          <w:color w:val="000000"/>
          <w:sz w:val="28"/>
          <w:szCs w:val="28"/>
          <w:lang w:val="en-US" w:eastAsia="zh-CN"/>
        </w:rPr>
        <w:t>▲</w:t>
      </w:r>
      <w:r>
        <w:rPr>
          <w:rFonts w:hint="eastAsia" w:ascii="仿宋_GB2312" w:hAnsi="仿宋_GB2312" w:eastAsia="仿宋_GB2312" w:cs="仿宋_GB2312"/>
          <w:b/>
          <w:bCs/>
          <w:color w:val="000000"/>
          <w:sz w:val="28"/>
          <w:szCs w:val="28"/>
        </w:rPr>
        <w:t>”号条款为</w:t>
      </w:r>
      <w:r>
        <w:rPr>
          <w:rFonts w:hint="eastAsia" w:ascii="仿宋_GB2312" w:hAnsi="仿宋_GB2312" w:eastAsia="仿宋_GB2312" w:cs="仿宋_GB2312"/>
          <w:b/>
          <w:bCs/>
          <w:color w:val="000000"/>
          <w:sz w:val="28"/>
          <w:szCs w:val="28"/>
          <w:lang w:val="en-US" w:eastAsia="zh-CN"/>
        </w:rPr>
        <w:t>产品重要</w:t>
      </w:r>
      <w:r>
        <w:rPr>
          <w:rFonts w:hint="eastAsia" w:ascii="仿宋_GB2312" w:hAnsi="仿宋_GB2312" w:eastAsia="仿宋_GB2312" w:cs="仿宋_GB2312"/>
          <w:b/>
          <w:bCs/>
          <w:color w:val="000000"/>
          <w:sz w:val="28"/>
          <w:szCs w:val="28"/>
        </w:rPr>
        <w:t>性</w:t>
      </w:r>
      <w:r>
        <w:rPr>
          <w:rFonts w:hint="eastAsia" w:ascii="仿宋_GB2312" w:hAnsi="仿宋_GB2312" w:eastAsia="仿宋_GB2312" w:cs="仿宋_GB2312"/>
          <w:b/>
          <w:bCs/>
          <w:color w:val="000000"/>
          <w:sz w:val="28"/>
          <w:szCs w:val="28"/>
          <w:lang w:val="en-US" w:eastAsia="zh-CN"/>
        </w:rPr>
        <w:t>能指标</w:t>
      </w:r>
      <w:r>
        <w:rPr>
          <w:rFonts w:hint="eastAsia" w:ascii="仿宋_GB2312" w:hAnsi="仿宋_GB2312" w:eastAsia="仿宋_GB2312" w:cs="仿宋_GB2312"/>
          <w:b/>
          <w:bCs/>
          <w:color w:val="000000"/>
          <w:sz w:val="28"/>
          <w:szCs w:val="28"/>
        </w:rPr>
        <w:t>要求，</w:t>
      </w:r>
      <w:r>
        <w:rPr>
          <w:rFonts w:hint="eastAsia" w:ascii="仿宋_GB2312" w:hAnsi="仿宋_GB2312" w:eastAsia="仿宋_GB2312" w:cs="仿宋_GB2312"/>
          <w:b/>
          <w:bCs/>
          <w:color w:val="000000"/>
          <w:sz w:val="28"/>
          <w:szCs w:val="28"/>
          <w:lang w:val="en-US" w:eastAsia="zh-CN"/>
        </w:rPr>
        <w:t>合同签订前,供应商须按要求提供相关证明材料。否则视为虚假响应。</w:t>
      </w:r>
    </w:p>
    <w:p>
      <w:pPr>
        <w:rPr>
          <w:rFonts w:hint="eastAsia" w:ascii="仿宋_GB2312" w:hAnsi="仿宋_GB2312" w:eastAsia="仿宋_GB2312" w:cs="仿宋_GB2312"/>
          <w:color w:val="000000"/>
          <w:sz w:val="36"/>
          <w:szCs w:val="36"/>
        </w:rPr>
      </w:pPr>
    </w:p>
    <w:p>
      <w:pPr>
        <w:pStyle w:val="2"/>
        <w:rPr>
          <w:rFonts w:hint="eastAsia" w:ascii="仿宋_GB2312" w:hAnsi="仿宋_GB2312" w:eastAsia="仿宋_GB2312" w:cs="仿宋_GB2312"/>
          <w:color w:val="000000"/>
          <w:sz w:val="36"/>
          <w:szCs w:val="36"/>
        </w:rPr>
      </w:pPr>
    </w:p>
    <w:p>
      <w:pPr>
        <w:pStyle w:val="2"/>
        <w:rPr>
          <w:rFonts w:hint="eastAsia" w:ascii="仿宋_GB2312" w:hAnsi="仿宋_GB2312" w:eastAsia="仿宋_GB2312" w:cs="仿宋_GB2312"/>
          <w:color w:val="000000"/>
          <w:sz w:val="36"/>
          <w:szCs w:val="36"/>
        </w:rPr>
      </w:pPr>
    </w:p>
    <w:p>
      <w:pPr>
        <w:pStyle w:val="2"/>
        <w:rPr>
          <w:rFonts w:hint="eastAsia" w:ascii="仿宋_GB2312" w:hAnsi="仿宋_GB2312" w:eastAsia="仿宋_GB2312" w:cs="仿宋_GB2312"/>
          <w:color w:val="000000"/>
          <w:sz w:val="36"/>
          <w:szCs w:val="36"/>
        </w:rPr>
      </w:pPr>
    </w:p>
    <w:p>
      <w:pPr>
        <w:pStyle w:val="2"/>
        <w:rPr>
          <w:rFonts w:hint="eastAsia" w:ascii="仿宋_GB2312" w:hAnsi="仿宋_GB2312" w:eastAsia="仿宋_GB2312" w:cs="仿宋_GB2312"/>
          <w:color w:val="000000"/>
          <w:sz w:val="36"/>
          <w:szCs w:val="36"/>
        </w:rPr>
      </w:pPr>
    </w:p>
    <w:p>
      <w:pPr>
        <w:pStyle w:val="2"/>
        <w:rPr>
          <w:rFonts w:hint="eastAsia" w:ascii="仿宋_GB2312" w:hAnsi="仿宋_GB2312" w:eastAsia="仿宋_GB2312" w:cs="仿宋_GB2312"/>
          <w:color w:val="00000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yriad Pro">
    <w:altName w:val="Courier New"/>
    <w:panose1 w:val="00000000000000000000"/>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4"/>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OWRmYjcxNzliMTkwNzMxNDI3OTgyY2IzNzI1MzYifQ=="/>
  </w:docVars>
  <w:rsids>
    <w:rsidRoot w:val="23595EE5"/>
    <w:rsid w:val="2359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yriad Pro" w:hAnsi="Myriad Pro" w:eastAsia="Myriad Pro" w:cs="Myriad Pro"/>
      <w:color w:val="000000"/>
      <w:sz w:val="24"/>
      <w:szCs w:val="24"/>
      <w:lang w:val="en-US" w:eastAsia="zh-CN" w:bidi="ar-SA"/>
    </w:rPr>
  </w:style>
  <w:style w:type="paragraph" w:styleId="3">
    <w:name w:val="Body Text"/>
    <w:basedOn w:val="1"/>
    <w:next w:val="1"/>
    <w:qFormat/>
    <w:uiPriority w:val="0"/>
    <w:pPr>
      <w:spacing w:after="120"/>
    </w:pPr>
  </w:style>
  <w:style w:type="paragraph" w:styleId="4">
    <w:name w:val="Title"/>
    <w:basedOn w:val="1"/>
    <w:next w:val="1"/>
    <w:qFormat/>
    <w:uiPriority w:val="10"/>
    <w:pPr>
      <w:numPr>
        <w:ilvl w:val="1"/>
        <w:numId w:val="1"/>
      </w:numPr>
      <w:spacing w:before="240" w:after="60"/>
      <w:jc w:val="center"/>
      <w:outlineLvl w:val="0"/>
    </w:pPr>
    <w:rPr>
      <w:rFonts w:ascii="Cambria" w:hAnsi="Cambria"/>
      <w:b/>
      <w:bCs/>
      <w:kern w:val="0"/>
      <w:sz w:val="32"/>
      <w:szCs w:val="32"/>
    </w:rPr>
  </w:style>
  <w:style w:type="paragraph" w:customStyle="1" w:styleId="7">
    <w:name w:val="*正文"/>
    <w:basedOn w:val="1"/>
    <w:qFormat/>
    <w:uiPriority w:val="0"/>
    <w:pPr>
      <w:spacing w:line="360" w:lineRule="auto"/>
      <w:ind w:firstLine="440" w:firstLineChars="200"/>
    </w:pPr>
    <w:rPr>
      <w:rFonts w:ascii="宋体" w:hAnsi="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2022-08-23T09:50:00Z</dcterms:created>
  <dc:creator>blessedness</dc:creator>
  <cp:lastModifiedBy>blessedness</cp:lastModifiedBy>
  <dcterms:modified xsi:type="dcterms:W3CDTF">2022-08-23T09:51:14Z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C7D0CA15A87541CA85EE9FDAA0252E97</vt:lpwstr>
  </property>
</Properties>
</file>